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ascii="宋体" w:hAnsi="宋体" w:eastAsia="宋体" w:cs="宋体"/>
          <w:b/>
          <w:i w:val="0"/>
          <w:caps w:val="0"/>
          <w:color w:val="auto"/>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6"/>
          <w:szCs w:val="36"/>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0"/>
          <w:szCs w:val="30"/>
          <w:shd w:val="clear" w:fill="FFFFFF"/>
        </w:rPr>
        <w:t> </w:t>
      </w:r>
    </w:p>
    <w:p>
      <w:pPr>
        <w:pStyle w:val="6"/>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0"/>
          <w:szCs w:val="30"/>
          <w:shd w:val="clear" w:fill="FFFFFF"/>
        </w:rPr>
        <w:t>项目名称：福建省立医院国家应急队伍能力提升移动微生物实验室采购项目</w:t>
      </w:r>
    </w:p>
    <w:p>
      <w:pPr>
        <w:pStyle w:val="6"/>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0"/>
          <w:szCs w:val="30"/>
          <w:shd w:val="clear" w:fill="FFFFFF"/>
        </w:rPr>
        <w:t>备案编号：K-SLH-GK-202012-B5440-IDN</w:t>
      </w:r>
    </w:p>
    <w:p>
      <w:pPr>
        <w:pStyle w:val="6"/>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0"/>
          <w:szCs w:val="30"/>
          <w:shd w:val="clear" w:fill="FFFFFF"/>
        </w:rPr>
        <w:t>招标编号：[3500]FZHTZB[GK]2020056</w:t>
      </w:r>
      <w:r>
        <w:rPr>
          <w:rStyle w:val="9"/>
          <w:rFonts w:hint="eastAsia" w:ascii="宋体" w:hAnsi="宋体" w:eastAsia="宋体" w:cs="宋体"/>
          <w:b/>
          <w:i w:val="0"/>
          <w:caps w:val="0"/>
          <w:color w:val="auto"/>
          <w:spacing w:val="0"/>
          <w:sz w:val="30"/>
          <w:szCs w:val="30"/>
          <w:shd w:val="clear" w:fill="FFFFFF"/>
        </w:rPr>
        <w:br w:type="textWrapping"/>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7"/>
          <w:szCs w:val="27"/>
          <w:shd w:val="clear" w:fill="FFFFFF"/>
        </w:rPr>
        <w:t>采购人：</w:t>
      </w:r>
      <w:r>
        <w:rPr>
          <w:rFonts w:hint="eastAsia" w:ascii="微软雅黑" w:hAnsi="微软雅黑" w:eastAsia="微软雅黑" w:cs="微软雅黑"/>
          <w:i w:val="0"/>
          <w:caps w:val="0"/>
          <w:color w:val="auto"/>
          <w:spacing w:val="0"/>
          <w:sz w:val="27"/>
          <w:szCs w:val="27"/>
          <w:shd w:val="clear" w:fill="FFFFFF"/>
        </w:rPr>
        <w:t> </w:t>
      </w:r>
      <w:r>
        <w:rPr>
          <w:rStyle w:val="9"/>
          <w:rFonts w:hint="eastAsia" w:ascii="宋体" w:hAnsi="宋体" w:eastAsia="宋体" w:cs="宋体"/>
          <w:b/>
          <w:i w:val="0"/>
          <w:caps w:val="0"/>
          <w:color w:val="auto"/>
          <w:spacing w:val="0"/>
          <w:sz w:val="28"/>
          <w:szCs w:val="28"/>
          <w:shd w:val="clear" w:fill="FFFFFF"/>
        </w:rPr>
        <w:t>福建省立医院</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8"/>
          <w:szCs w:val="28"/>
          <w:shd w:val="clear" w:fill="FFFFFF"/>
        </w:rPr>
        <w:t>代理机构：福州华腾招标有限公司</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7"/>
          <w:szCs w:val="27"/>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8"/>
          <w:szCs w:val="28"/>
          <w:shd w:val="clear" w:fill="FFFFFF"/>
        </w:rPr>
        <w:t>2020年12月</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第一章</w:t>
      </w:r>
      <w:r>
        <w:rPr>
          <w:rStyle w:val="9"/>
          <w:b/>
          <w:color w:val="auto"/>
          <w:spacing w:val="0"/>
          <w:sz w:val="31"/>
          <w:szCs w:val="31"/>
        </w:rPr>
        <w:t>   </w:t>
      </w:r>
      <w:r>
        <w:rPr>
          <w:rStyle w:val="9"/>
          <w:rFonts w:hint="eastAsia" w:ascii="宋体" w:hAnsi="宋体" w:eastAsia="宋体" w:cs="宋体"/>
          <w:b/>
          <w:color w:val="auto"/>
          <w:spacing w:val="0"/>
          <w:sz w:val="31"/>
          <w:szCs w:val="31"/>
        </w:rPr>
        <w:t>投标邀请</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福建省立医院国家应急队伍能力提升移动微生物实验室采购项目</w:t>
      </w:r>
      <w:r>
        <w:rPr>
          <w:rFonts w:hint="eastAsia" w:ascii="宋体" w:hAnsi="宋体" w:eastAsia="宋体" w:cs="宋体"/>
          <w:color w:val="auto"/>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K-SLH-GK-202012-B5440-IDN</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[3500]FZHTZB[GK]2020056</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1）进口产品：无。（2）节能产品：适用于合同包1，属于《节能产品政府采购品目清单》的节能产品，依据国家确定的认证机构出具的、在评标时处于有效期之内的节能产品认证证书（本项目招标文件中与本条款有冲突的以本条款为准）。（3）环境标志产品：适用于合同包1，属于《环境标志产品政府采购品目清单》的环境标志产品，依据国家确定的认证机构出具的、在评标时处于有效期之内的环境标志产品认证证书（本项目招标文件中与本条款有冲突的以本条款为准）。（4）信息安全产品：无。（5）小型、微型企业：适用于合同包1。（6）监狱企业：适用于合同包1。（7）促进残疾人就业 ：适用于合同包1。（8）信用记录：适用于合同包1，按照下列规定执行： A、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 B、查询结果的审查： ①由资格审查小组通过上述网站查询并打印投标人信用记录（以下简称：“资格审查小组的查询结果”）。 ②投标人提供的查询结果与资格审查小组的查询结果不一致的，以资格审查小组的查询结果为准。 ③因上述网站原因导致资格审查小组无法查询投标人信用记录的（资格审查小组应将通过上述网站查询投标人信用记录时的原始页面打印后随采购文件一并存档），以投标人提供的查询结果为准。 ④查询结果存在投标人应被拒绝参与政府采购活动相关信息的，其资格审查不合格。（9）其他政策：无。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9"/>
          <w:rFonts w:hint="eastAsia" w:ascii="宋体" w:hAnsi="宋体" w:eastAsia="宋体" w:cs="宋体"/>
          <w:b/>
          <w:color w:val="auto"/>
          <w:spacing w:val="0"/>
          <w:sz w:val="24"/>
          <w:szCs w:val="24"/>
        </w:rPr>
        <w:t>包：1</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所投货物若属于医疗器械管理范畴，按照国家《医疗器械监督管理条例》，应符合以下标准 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投标人须具有车辆改装生产资质，须提供中华人民共和国工业和信息化部装备司车辆生产企业产品公告截图（http://www.miit.gov.cn）。</w:t>
            </w:r>
          </w:p>
        </w:tc>
      </w:tr>
    </w:tbl>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b/>
          <w:color w:val="auto"/>
          <w:spacing w:val="0"/>
          <w:sz w:val="24"/>
          <w:szCs w:val="24"/>
        </w:rPr>
        <w:t>投标人的CA证书</w:t>
      </w:r>
      <w:r>
        <w:rPr>
          <w:rFonts w:hint="eastAsia" w:ascii="宋体" w:hAnsi="宋体" w:eastAsia="宋体" w:cs="宋体"/>
          <w:color w:val="auto"/>
          <w:spacing w:val="0"/>
          <w:sz w:val="24"/>
          <w:szCs w:val="24"/>
        </w:rPr>
        <w:t>连同</w:t>
      </w:r>
      <w:r>
        <w:rPr>
          <w:rStyle w:val="9"/>
          <w:rFonts w:hint="eastAsia" w:ascii="宋体" w:hAnsi="宋体" w:eastAsia="宋体" w:cs="宋体"/>
          <w:b/>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9"/>
          <w:rFonts w:hint="eastAsia" w:ascii="宋体" w:hAnsi="宋体" w:eastAsia="宋体" w:cs="宋体"/>
          <w:b/>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12、采购人：福建省立医院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地址：福建省福州市鼓楼区东街134号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联系方法：游多/0591-88618943</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13、代理机构：福州华腾招标有限公司</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地址：福州市鼓楼区东大路36号花开富贵1#楼A座23层18H室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联系方法：吴明珠、罗国清/0591-83300142-8005</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福州华腾招标有限公司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rPr>
        <w:t>金额单位：人民币元</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28"/>
        <w:gridCol w:w="828"/>
        <w:gridCol w:w="1662"/>
        <w:gridCol w:w="829"/>
        <w:gridCol w:w="829"/>
        <w:gridCol w:w="829"/>
        <w:gridCol w:w="856"/>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8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8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8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8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8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4977"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7"/>
              <w:tblW w:w="494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1"/>
              <w:gridCol w:w="1271"/>
              <w:gridCol w:w="621"/>
              <w:gridCol w:w="736"/>
              <w:gridCol w:w="169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2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移动微生物实验室车辆</w:t>
                  </w:r>
                </w:p>
              </w:tc>
              <w:tc>
                <w:tcPr>
                  <w:tcW w:w="62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1-2</w:t>
                  </w:r>
                </w:p>
              </w:tc>
              <w:tc>
                <w:tcPr>
                  <w:tcW w:w="12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移动微生物实验室车辆配套设施及实验设备</w:t>
                  </w:r>
                </w:p>
              </w:tc>
              <w:tc>
                <w:tcPr>
                  <w:tcW w:w="62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5,420,000.0000</w:t>
                  </w:r>
                </w:p>
              </w:tc>
            </w:tr>
          </w:tbl>
          <w:p>
            <w:pPr>
              <w:jc w:val="center"/>
              <w:rPr>
                <w:color w:val="auto"/>
              </w:rPr>
            </w:pPr>
          </w:p>
        </w:tc>
        <w:tc>
          <w:tcPr>
            <w:tcW w:w="8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6020000</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60200</w:t>
            </w:r>
          </w:p>
        </w:tc>
      </w:tr>
    </w:tbl>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第二章</w:t>
      </w:r>
      <w:r>
        <w:rPr>
          <w:rStyle w:val="9"/>
          <w:b/>
          <w:color w:val="auto"/>
          <w:spacing w:val="0"/>
          <w:sz w:val="31"/>
          <w:szCs w:val="31"/>
        </w:rPr>
        <w:t>   </w:t>
      </w:r>
      <w:r>
        <w:rPr>
          <w:rStyle w:val="9"/>
          <w:rFonts w:hint="eastAsia" w:ascii="宋体" w:hAnsi="宋体" w:eastAsia="宋体" w:cs="宋体"/>
          <w:b/>
          <w:color w:val="auto"/>
          <w:spacing w:val="0"/>
          <w:sz w:val="31"/>
          <w:szCs w:val="31"/>
        </w:rPr>
        <w:t>投标人须知前附表（表1、</w:t>
      </w:r>
      <w:r>
        <w:rPr>
          <w:rStyle w:val="9"/>
          <w:rFonts w:hint="default" w:ascii="Times New Roman" w:hAnsi="Times New Roman" w:cs="Times New Roman"/>
          <w:b/>
          <w:color w:val="auto"/>
          <w:spacing w:val="0"/>
          <w:sz w:val="31"/>
          <w:szCs w:val="31"/>
        </w:rPr>
        <w:t>2</w:t>
      </w:r>
      <w:r>
        <w:rPr>
          <w:rStyle w:val="9"/>
          <w:rFonts w:hint="eastAsia" w:ascii="宋体" w:hAnsi="宋体" w:eastAsia="宋体" w:cs="宋体"/>
          <w:b/>
          <w:color w:val="auto"/>
          <w:spacing w:val="0"/>
          <w:sz w:val="31"/>
          <w:szCs w:val="31"/>
        </w:rPr>
        <w:t>）</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6"/>
        <w:gridCol w:w="1584"/>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gridSpan w:val="3"/>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投标文件的份数：</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lang w:val="en-US" w:eastAsia="zh-CN"/>
              </w:rPr>
              <w:t>3</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lang w:val="en-US" w:eastAsia="zh-CN"/>
              </w:rPr>
              <w:t>3</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lang w:val="en-US" w:eastAsia="zh-CN"/>
              </w:rPr>
              <w:t>3</w:t>
            </w:r>
            <w:r>
              <w:rPr>
                <w:rFonts w:hint="eastAsia" w:ascii="宋体" w:hAnsi="宋体" w:eastAsia="宋体" w:cs="宋体"/>
                <w:color w:val="auto"/>
                <w:spacing w:val="0"/>
                <w:sz w:val="24"/>
                <w:szCs w:val="24"/>
              </w:rPr>
              <w:t>份。②可读介质（光盘或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密封及其标记的具体形式：</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不承担责任。</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①投标人可将资格及资信证明部分正本、资格及资信证明部分副本、报价部分正本、报价部分副本、技术商务部分正本、技术商务部分副本（技术商务部分中不得出现与报价有关的内容）、电子投标文件可读介质（光盘或U盘）分开装袋密封递交，并在密封袋上标记招标编号、投标人名称、项目名称及“正本”或“副本”字样。②投标文件未密封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584" w:type="dxa"/>
            <w:tcBorders>
              <w:tl2br w:val="nil"/>
              <w:tr2bl w:val="nil"/>
            </w:tcBorders>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6336" w:type="dxa"/>
            <w:tcBorders>
              <w:tl2br w:val="nil"/>
              <w:tr2bl w:val="nil"/>
            </w:tcBorders>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Style w:val="9"/>
                <w:rFonts w:hint="eastAsia" w:ascii="宋体" w:hAnsi="宋体" w:eastAsia="宋体" w:cs="宋体"/>
                <w:b/>
                <w:color w:val="auto"/>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color w:val="auto"/>
                <w:spacing w:val="0"/>
                <w:sz w:val="24"/>
                <w:szCs w:val="24"/>
              </w:rPr>
              <w:t>。</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6"/>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6"/>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招标文件的质疑</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※除上述规定外，对招标文件提出的质疑还应符合招标文件第三章第</w:t>
            </w:r>
            <w:r>
              <w:rPr>
                <w:rStyle w:val="9"/>
                <w:rFonts w:hint="default" w:ascii="Times New Roman" w:hAnsi="Times New Roman" w:cs="Times New Roman"/>
                <w:b/>
                <w:color w:val="auto"/>
                <w:spacing w:val="0"/>
                <w:sz w:val="24"/>
                <w:szCs w:val="24"/>
              </w:rPr>
              <w:t>15.1</w:t>
            </w:r>
            <w:r>
              <w:rPr>
                <w:rStyle w:val="9"/>
                <w:rFonts w:hint="eastAsia" w:ascii="宋体" w:hAnsi="宋体" w:eastAsia="宋体" w:cs="宋体"/>
                <w:b/>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监督管理部门：</w:t>
            </w:r>
            <w:r>
              <w:rPr>
                <w:rFonts w:hint="eastAsia" w:ascii="宋体" w:hAnsi="宋体" w:eastAsia="宋体" w:cs="宋体"/>
                <w:color w:val="auto"/>
                <w:spacing w:val="0"/>
                <w:sz w:val="24"/>
                <w:szCs w:val="24"/>
              </w:rPr>
              <w:t>福建省财政厅</w:t>
            </w:r>
            <w:r>
              <w:rPr>
                <w:rStyle w:val="9"/>
                <w:rFonts w:hint="eastAsia" w:ascii="宋体" w:hAnsi="宋体" w:eastAsia="宋体" w:cs="宋体"/>
                <w:b/>
                <w:color w:val="auto"/>
                <w:spacing w:val="0"/>
                <w:sz w:val="24"/>
                <w:szCs w:val="24"/>
                <w:u w:val="none"/>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（2）中国政府采购网福建分网（福建省政府采购网），网址zfcg.czt.fujian.gov.cn</w:t>
            </w:r>
            <w:r>
              <w:rPr>
                <w:color w:val="auto"/>
              </w:rPr>
              <w:t>。</w:t>
            </w:r>
          </w:p>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※除招标文件第一章第</w:t>
            </w:r>
            <w:r>
              <w:rPr>
                <w:rStyle w:val="9"/>
                <w:rFonts w:hint="default" w:ascii="Times New Roman" w:hAnsi="Times New Roman" w:cs="Times New Roman"/>
                <w:b/>
                <w:color w:val="auto"/>
                <w:spacing w:val="0"/>
                <w:sz w:val="24"/>
                <w:szCs w:val="24"/>
              </w:rPr>
              <w:t>11.1</w:t>
            </w:r>
            <w:r>
              <w:rPr>
                <w:rStyle w:val="9"/>
                <w:rFonts w:hint="eastAsia" w:ascii="宋体" w:hAnsi="宋体" w:eastAsia="宋体" w:cs="宋体"/>
                <w:b/>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58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63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其他事项：</w:t>
            </w:r>
          </w:p>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(1)本项目代理服务费由</w:t>
            </w:r>
            <w:r>
              <w:rPr>
                <w:rFonts w:hint="eastAsia" w:ascii="宋体" w:hAnsi="宋体" w:eastAsia="宋体" w:cs="宋体"/>
                <w:b/>
                <w:color w:val="auto"/>
                <w:spacing w:val="0"/>
                <w:sz w:val="24"/>
                <w:szCs w:val="24"/>
              </w:rPr>
              <w:t>中标供应商支付</w:t>
            </w:r>
            <w:r>
              <w:rPr>
                <w:rStyle w:val="9"/>
                <w:rFonts w:hint="eastAsia" w:ascii="宋体" w:hAnsi="宋体" w:eastAsia="宋体" w:cs="宋体"/>
                <w:b/>
                <w:color w:val="auto"/>
                <w:spacing w:val="0"/>
                <w:sz w:val="24"/>
                <w:szCs w:val="24"/>
              </w:rPr>
              <w:t>支付。</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(2)其他：</w:t>
            </w:r>
            <w:r>
              <w:rPr>
                <w:rFonts w:hint="eastAsia" w:ascii="宋体" w:hAnsi="宋体" w:eastAsia="宋体" w:cs="宋体"/>
                <w:b/>
                <w:color w:val="auto"/>
                <w:spacing w:val="0"/>
                <w:sz w:val="24"/>
                <w:szCs w:val="24"/>
              </w:rPr>
              <w:t>（一）中标供应商应按照以下规定，向招标代理机构交纳代理服务费：(1)以福建省立医院2019年度协议为准，以当日采购人项目的总中标金额为计费基数：100万以下按1.5%；100万-500万按1.1%；500万-1000万按0.8%费率计算后，整体下浮30%计取招标代理服务费。(2)代理服务费的交纳方式：代理服务费由中标供应商在代理机构发布中标公告后5个工作日内支付代理服务费，代理服务费以银行转账或现金等付款方式。（二）潜在投标人提交质疑书的补充材料：①提供招标文件首次下载时间证明材料（首次下载之日以福建省政府采购网上公开信息系统报名信息记载的为准）；②投标人需在法定质疑期内一次性提出针对同一采购程序环节质疑，否则重复提交的质疑函将不予接收。（三）节能产品、环境标志产品：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标委员会审查此项响应性只根据投标文件本身的内容，而不寻求其他的外部证据。（四）资格证明材料：根据《福建省财政厅关于运用政府采购政策促进中小企业发展的通知》（闽财购〔2020〕11号）文件精神，因疫情影响享受缓缴或免缴社保、税款的企业，无法提供相关社保、税收缴纳证明材料的，提供有关情况说明视同社保、税收缴纳证明材料提交完整。（五）无效标及废标条款：1、招标文件第三章投标人须知第9项、第10.5项、第10.6项、第10.8项、第10.</w:t>
            </w:r>
            <w:r>
              <w:rPr>
                <w:rFonts w:hint="eastAsia" w:ascii="宋体" w:hAnsi="宋体" w:eastAsia="宋体" w:cs="宋体"/>
                <w:b/>
                <w:color w:val="auto"/>
                <w:spacing w:val="0"/>
                <w:sz w:val="24"/>
                <w:szCs w:val="24"/>
                <w:lang w:val="en-US" w:eastAsia="zh-CN"/>
              </w:rPr>
              <w:t xml:space="preserve"> </w:t>
            </w:r>
            <w:r>
              <w:rPr>
                <w:rFonts w:hint="eastAsia" w:ascii="宋体" w:hAnsi="宋体" w:eastAsia="宋体" w:cs="宋体"/>
                <w:b/>
                <w:color w:val="auto"/>
                <w:spacing w:val="0"/>
                <w:sz w:val="24"/>
                <w:szCs w:val="24"/>
              </w:rPr>
              <w:t>9项、第10.12项。 2、招标文件第四章资格审查与评标第1.4项、第6.2项、第6.3项、第6.4项、第6.7项、第6.9项、第6.10项、第8.3项。3、投标人出现 《福建省财政厅关于电子化政府采购项目中视为串标情形认定与处理的指导意见》（闽财购〔2018〕30号）文中规定的视为串标情形的，其投标无效。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2180" w:type="dxa"/>
            <w:gridSpan w:val="2"/>
            <w:tcBorders>
              <w:tl2br w:val="nil"/>
              <w:tr2bl w:val="nil"/>
            </w:tcBorders>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6336" w:type="dxa"/>
            <w:tcBorders>
              <w:tl2br w:val="nil"/>
              <w:tr2bl w:val="nil"/>
            </w:tcBorders>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Style w:val="9"/>
                <w:rFonts w:hint="eastAsia" w:ascii="宋体" w:hAnsi="宋体" w:eastAsia="宋体" w:cs="宋体"/>
                <w:b/>
                <w:color w:val="auto"/>
                <w:spacing w:val="0"/>
                <w:sz w:val="24"/>
                <w:szCs w:val="24"/>
              </w:rPr>
              <w:t>后有表</w:t>
            </w:r>
            <w:r>
              <w:rPr>
                <w:rStyle w:val="9"/>
                <w:rFonts w:hint="default" w:ascii="Times New Roman" w:hAnsi="Times New Roman" w:cs="Times New Roman"/>
                <w:b/>
                <w:color w:val="auto"/>
                <w:spacing w:val="0"/>
                <w:sz w:val="24"/>
                <w:szCs w:val="24"/>
              </w:rPr>
              <w:t>2</w:t>
            </w:r>
            <w:r>
              <w:rPr>
                <w:rStyle w:val="9"/>
                <w:rFonts w:hint="eastAsia" w:ascii="宋体" w:hAnsi="宋体" w:eastAsia="宋体" w:cs="宋体"/>
                <w:b/>
                <w:color w:val="auto"/>
                <w:spacing w:val="0"/>
                <w:sz w:val="24"/>
                <w:szCs w:val="24"/>
              </w:rPr>
              <w:t>，请勿遗漏。</w:t>
            </w:r>
          </w:p>
        </w:tc>
      </w:tr>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表2</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8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gridSpan w:val="2"/>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80"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80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80"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8036"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第四章资格审查与评标1.3（2）①一般资格证明文件财务状况报告（财务报告、或资信证明、或投标担保函）：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w:t>
            </w:r>
            <w:r>
              <w:rPr>
                <w:rFonts w:hint="eastAsia" w:ascii="宋体" w:hAnsi="宋体" w:eastAsia="宋体" w:cs="宋体"/>
                <w:color w:val="auto"/>
                <w:spacing w:val="0"/>
                <w:sz w:val="24"/>
                <w:szCs w:val="24"/>
              </w:rPr>
              <w:t>的内容</w:t>
            </w:r>
            <w:r>
              <w:rPr>
                <w:rStyle w:val="9"/>
                <w:rFonts w:hint="eastAsia" w:ascii="宋体" w:hAnsi="宋体" w:eastAsia="宋体" w:cs="宋体"/>
                <w:b/>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1、投标人提供的财务报告复印件（成立年限按照投标截止时间推算）应符合下列规定：1.1成立年限满1年及以上的投标人，提供经审计的2019或2020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银行出具的资信证明复印件或投标担保函复印件。（本项目招标文件中与本条款有冲突的以本条款修正内容为准）</w:t>
            </w:r>
            <w:r>
              <w:rPr>
                <w:rFonts w:hint="eastAsia" w:ascii="宋体" w:hAnsi="宋体" w:eastAsia="宋体" w:cs="宋体"/>
                <w:color w:val="auto"/>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9"/>
                <w:rFonts w:hint="eastAsia" w:ascii="宋体" w:hAnsi="宋体" w:eastAsia="宋体" w:cs="宋体"/>
                <w:b/>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9"/>
                <w:rFonts w:hint="eastAsia" w:ascii="宋体" w:hAnsi="宋体" w:eastAsia="宋体" w:cs="宋体"/>
                <w:b/>
                <w:color w:val="auto"/>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b/>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9"/>
                <w:rFonts w:hint="eastAsia" w:ascii="宋体" w:hAnsi="宋体" w:eastAsia="宋体" w:cs="宋体"/>
                <w:b/>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9"/>
                <w:rFonts w:hint="eastAsia" w:ascii="宋体" w:hAnsi="宋体" w:eastAsia="宋体" w:cs="宋体"/>
                <w:b/>
                <w:color w:val="auto"/>
                <w:sz w:val="24"/>
                <w:szCs w:val="24"/>
              </w:rPr>
              <w:t>（资格审查小组、评标委员会将核对纸质投标文件正本，未提供原件的证明材料或资料将导致投标无效）。</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c.《检察机关行贿犯罪档案查询结果告知函》</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9"/>
                <w:rFonts w:hint="eastAsia" w:ascii="宋体" w:hAnsi="宋体" w:eastAsia="宋体" w:cs="宋体"/>
                <w:b/>
                <w:color w:val="auto"/>
                <w:sz w:val="24"/>
                <w:szCs w:val="24"/>
              </w:rPr>
              <w:t>投标无效。</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9"/>
                <w:rFonts w:hint="eastAsia" w:ascii="宋体" w:hAnsi="宋体" w:eastAsia="宋体" w:cs="宋体"/>
                <w:b/>
                <w:color w:val="auto"/>
                <w:sz w:val="24"/>
                <w:szCs w:val="24"/>
              </w:rPr>
              <w:t>均视同有效。</w:t>
            </w:r>
          </w:p>
          <w:p>
            <w:pPr>
              <w:pStyle w:val="6"/>
              <w:keepNext w:val="0"/>
              <w:keepLines w:val="0"/>
              <w:widowControl/>
              <w:suppressLineNumbers w:val="0"/>
              <w:wordWrap w:val="0"/>
              <w:spacing w:before="0" w:beforeAutospacing="0" w:after="0" w:afterAutospacing="0"/>
              <w:ind w:left="0" w:right="0"/>
              <w:rPr>
                <w:color w:val="auto"/>
              </w:rPr>
            </w:pP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9"/>
                <w:rFonts w:hint="eastAsia" w:ascii="宋体" w:hAnsi="宋体" w:eastAsia="宋体" w:cs="宋体"/>
                <w:b/>
                <w:color w:val="auto"/>
                <w:spacing w:val="0"/>
                <w:sz w:val="24"/>
                <w:szCs w:val="24"/>
              </w:rPr>
              <w:t>不视为投标无效。</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b.有下列情形之一的，其</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,其保证金不予退还：</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投标人的供应商名称（系统注册名称）应与CA证书供应商名称、保证金来源账户名称、递交的纸质投标文件供应商名称保持一致，请投标人注意</w:t>
            </w:r>
            <w:r>
              <w:rPr>
                <w:rFonts w:hint="eastAsia" w:ascii="宋体" w:hAnsi="宋体" w:eastAsia="宋体" w:cs="宋体"/>
                <w:color w:val="auto"/>
                <w:spacing w:val="0"/>
                <w:sz w:val="24"/>
                <w:szCs w:val="24"/>
              </w:rPr>
              <w:t>。</w:t>
            </w:r>
          </w:p>
        </w:tc>
      </w:tr>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第三章   投标人须知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一、总则</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二、投标人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三、招标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福州华腾招标有限公司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b/>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福州华腾招标有限公司可终止招标并发布终止公告。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8.2终止公告作为福州华腾招标有限公司</w:t>
      </w:r>
      <w:r>
        <w:rPr>
          <w:rFonts w:hint="eastAsia" w:ascii="宋体" w:hAnsi="宋体" w:eastAsia="宋体" w:cs="宋体"/>
          <w:color w:val="auto"/>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四、投标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9"/>
          <w:rFonts w:hint="eastAsia" w:ascii="宋体" w:hAnsi="宋体" w:eastAsia="宋体" w:cs="宋体"/>
          <w:b/>
          <w:color w:val="auto"/>
          <w:spacing w:val="0"/>
          <w:sz w:val="24"/>
          <w:szCs w:val="24"/>
        </w:rPr>
        <w:t>其投标无效：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※除本章第</w:t>
      </w:r>
      <w:r>
        <w:rPr>
          <w:rStyle w:val="9"/>
          <w:rFonts w:hint="default" w:ascii="Calibri" w:hAnsi="Calibri" w:cs="Calibri"/>
          <w:b/>
          <w:color w:val="auto"/>
          <w:spacing w:val="0"/>
          <w:sz w:val="24"/>
          <w:szCs w:val="24"/>
        </w:rPr>
        <w:t>10.5</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2</w:t>
      </w:r>
      <w:r>
        <w:rPr>
          <w:rStyle w:val="9"/>
          <w:rFonts w:hint="eastAsia" w:ascii="宋体" w:hAnsi="宋体" w:eastAsia="宋体" w:cs="宋体"/>
          <w:b/>
          <w:color w:val="auto"/>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9"/>
          <w:rFonts w:hint="eastAsia" w:ascii="宋体" w:hAnsi="宋体" w:eastAsia="宋体" w:cs="宋体"/>
          <w:b/>
          <w:color w:val="auto"/>
          <w:spacing w:val="0"/>
          <w:sz w:val="24"/>
          <w:szCs w:val="24"/>
        </w:rPr>
        <w:t>（基本存款账户）</w:t>
      </w:r>
      <w:r>
        <w:rPr>
          <w:rFonts w:hint="eastAsia" w:ascii="宋体" w:hAnsi="宋体" w:eastAsia="宋体" w:cs="宋体"/>
          <w:color w:val="auto"/>
          <w:spacing w:val="0"/>
          <w:sz w:val="24"/>
          <w:szCs w:val="24"/>
        </w:rPr>
        <w:t>按照下列方式：</w:t>
      </w:r>
      <w:r>
        <w:rPr>
          <w:rStyle w:val="9"/>
          <w:rFonts w:hint="eastAsia" w:ascii="宋体" w:hAnsi="宋体" w:eastAsia="宋体" w:cs="宋体"/>
          <w:b/>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b/>
          <w:color w:val="auto"/>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9"/>
          <w:rFonts w:hint="eastAsia" w:ascii="宋体" w:hAnsi="宋体" w:eastAsia="宋体" w:cs="宋体"/>
          <w:b/>
          <w:color w:val="auto"/>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※本章第</w:t>
      </w:r>
      <w:r>
        <w:rPr>
          <w:rStyle w:val="9"/>
          <w:rFonts w:hint="default" w:ascii="Calibri" w:hAnsi="Calibri" w:cs="Calibri"/>
          <w:b/>
          <w:color w:val="auto"/>
          <w:spacing w:val="0"/>
          <w:sz w:val="24"/>
          <w:szCs w:val="24"/>
        </w:rPr>
        <w:t>10.9</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4</w:t>
      </w:r>
      <w:r>
        <w:rPr>
          <w:rStyle w:val="9"/>
          <w:rFonts w:hint="eastAsia" w:ascii="宋体" w:hAnsi="宋体" w:eastAsia="宋体" w:cs="宋体"/>
          <w:b/>
          <w:color w:val="auto"/>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9"/>
          <w:rFonts w:hint="eastAsia" w:ascii="宋体" w:hAnsi="宋体" w:eastAsia="宋体" w:cs="宋体"/>
          <w:b/>
          <w:color w:val="auto"/>
          <w:spacing w:val="0"/>
          <w:sz w:val="24"/>
          <w:szCs w:val="24"/>
        </w:rPr>
        <w:t>否则将被拒收。</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五、开标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※若出现本章第</w:t>
      </w:r>
      <w:r>
        <w:rPr>
          <w:rStyle w:val="9"/>
          <w:rFonts w:hint="default" w:ascii="Calibri" w:hAnsi="Calibri" w:cs="Calibri"/>
          <w:b/>
          <w:color w:val="auto"/>
          <w:spacing w:val="0"/>
          <w:sz w:val="24"/>
          <w:szCs w:val="24"/>
        </w:rPr>
        <w:t>11.4</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4</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5</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6</w:t>
      </w:r>
      <w:r>
        <w:rPr>
          <w:rStyle w:val="9"/>
          <w:rFonts w:hint="eastAsia" w:ascii="宋体" w:hAnsi="宋体" w:eastAsia="宋体" w:cs="宋体"/>
          <w:b/>
          <w:color w:val="auto"/>
          <w:spacing w:val="0"/>
          <w:sz w:val="24"/>
          <w:szCs w:val="24"/>
        </w:rPr>
        <w:t>）款规定情形之一</w:t>
      </w:r>
      <w:r>
        <w:rPr>
          <w:rFonts w:hint="eastAsia" w:ascii="宋体" w:hAnsi="宋体" w:eastAsia="宋体" w:cs="宋体"/>
          <w:color w:val="auto"/>
          <w:spacing w:val="0"/>
          <w:sz w:val="24"/>
          <w:szCs w:val="24"/>
        </w:rPr>
        <w:t>，</w:t>
      </w:r>
      <w:r>
        <w:rPr>
          <w:rStyle w:val="9"/>
          <w:rFonts w:hint="eastAsia" w:ascii="宋体" w:hAnsi="宋体" w:eastAsia="宋体" w:cs="宋体"/>
          <w:b/>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福州华腾招标有限公司</w:t>
      </w:r>
      <w:r>
        <w:rPr>
          <w:rStyle w:val="9"/>
          <w:rFonts w:hint="eastAsia" w:ascii="宋体" w:hAnsi="宋体" w:eastAsia="宋体" w:cs="宋体"/>
          <w:b/>
          <w:color w:val="auto"/>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七、询问、质疑与投诉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14.1潜在投标人或投标人对本次采购活动的有关事项若有疑问，可向福州华腾招标有限公司提出询问，福州华腾招标有限公司将按照政府采购法及实施条例的有关规定进行答复。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b/>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6"/>
        <w:keepNext w:val="0"/>
        <w:keepLines w:val="0"/>
        <w:widowControl/>
        <w:suppressLineNumbers w:val="0"/>
        <w:spacing w:before="0" w:beforeAutospacing="0" w:after="150" w:afterAutospacing="0"/>
        <w:ind w:left="0" w:right="0" w:firstLine="480"/>
        <w:rPr>
          <w:color w:val="auto"/>
        </w:rPr>
      </w:pPr>
      <w:r>
        <w:rPr>
          <w:rStyle w:val="9"/>
          <w:rFonts w:hint="eastAsia" w:ascii="宋体" w:hAnsi="宋体" w:eastAsia="宋体" w:cs="宋体"/>
          <w:b/>
          <w:color w:val="auto"/>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八、政府采购政策</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9"/>
          <w:rFonts w:hint="eastAsia" w:ascii="宋体" w:hAnsi="宋体" w:eastAsia="宋体" w:cs="宋体"/>
          <w:b/>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9"/>
          <w:rFonts w:hint="eastAsia" w:ascii="宋体" w:hAnsi="宋体" w:eastAsia="宋体" w:cs="宋体"/>
          <w:b/>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9"/>
          <w:rFonts w:hint="eastAsia" w:ascii="宋体" w:hAnsi="宋体" w:eastAsia="宋体" w:cs="宋体"/>
          <w:b/>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pacing w:val="0"/>
          <w:sz w:val="24"/>
          <w:szCs w:val="24"/>
        </w:rPr>
        <w:t>②监狱企业视同小型、微型企业。</w:t>
      </w:r>
      <w:r>
        <w:rPr>
          <w:rFonts w:hint="eastAsia" w:ascii="宋体" w:hAnsi="宋体" w:eastAsia="宋体" w:cs="宋体"/>
          <w:color w:val="auto"/>
          <w:spacing w:val="0"/>
          <w:sz w:val="24"/>
          <w:szCs w:val="24"/>
        </w:rPr>
        <w:br w:type="textWrapping"/>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九、本项目的有关信息</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十、其他事项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一、资格审查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的工作人员。</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rPr>
          <w:color w:val="auto"/>
        </w:rPr>
      </w:pPr>
      <w:r>
        <w:rPr>
          <w:rStyle w:val="9"/>
          <w:b/>
          <w:color w:val="auto"/>
          <w:spacing w:val="0"/>
          <w:sz w:val="24"/>
          <w:szCs w:val="24"/>
        </w:rPr>
        <w:t>包：1</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所投货物若属于医疗器械管理范畴，按照国家《医疗器械监督管理条例》，应符合以下标准 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投标人须具有车辆改装生产资质，须提供中华人民共和国工业和信息化部装备司车辆生产企业产品公告截图（http://www.miit.gov.cn）。</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9"/>
          <w:rFonts w:hint="eastAsia" w:ascii="宋体" w:hAnsi="宋体" w:eastAsia="宋体" w:cs="宋体"/>
          <w:b/>
          <w:color w:val="auto"/>
          <w:spacing w:val="0"/>
          <w:sz w:val="24"/>
          <w:szCs w:val="24"/>
        </w:rPr>
        <w:t>资格审查不合格：</w:t>
      </w:r>
      <w:r>
        <w:rPr>
          <w:rStyle w:val="9"/>
          <w:rFonts w:hint="eastAsia" w:ascii="宋体" w:hAnsi="宋体" w:eastAsia="宋体" w:cs="宋体"/>
          <w:b/>
          <w:color w:val="auto"/>
          <w:spacing w:val="0"/>
          <w:sz w:val="24"/>
          <w:szCs w:val="24"/>
        </w:rPr>
        <w:br w:type="textWrapping"/>
      </w:r>
      <w:r>
        <w:rPr>
          <w:rFonts w:hint="eastAsia" w:ascii="宋体" w:hAnsi="宋体" w:eastAsia="宋体" w:cs="宋体"/>
          <w:color w:val="auto"/>
        </w:rPr>
        <w:t>  （1）一般情形：</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rPr>
          <w:color w:val="auto"/>
        </w:rPr>
      </w:pPr>
      <w:r>
        <w:rPr>
          <w:rStyle w:val="9"/>
          <w:b/>
          <w:color w:val="auto"/>
        </w:rPr>
        <w:t>包：1</w:t>
      </w:r>
      <w:r>
        <w:rPr>
          <w:color w:val="auto"/>
        </w:rPr>
        <w:br w:type="textWrapping"/>
      </w:r>
      <w:r>
        <w:rPr>
          <w:rStyle w:val="9"/>
          <w:b/>
          <w:color w:val="auto"/>
          <w:sz w:val="24"/>
          <w:szCs w:val="24"/>
        </w:rPr>
        <w:t>         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统一对外发布。</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二、评标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福州华腾招标有限公司负责评标委员会的组建及评标工作的组织。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统一对外发布。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福州华腾招标有限公司</w:t>
      </w:r>
      <w:r>
        <w:rPr>
          <w:rFonts w:hint="eastAsia" w:ascii="宋体" w:hAnsi="宋体" w:eastAsia="宋体" w:cs="宋体"/>
          <w:color w:val="auto"/>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9"/>
          <w:rFonts w:hint="eastAsia" w:ascii="宋体" w:hAnsi="宋体" w:eastAsia="宋体" w:cs="宋体"/>
          <w:b/>
          <w:color w:val="auto"/>
          <w:spacing w:val="0"/>
          <w:sz w:val="24"/>
          <w:szCs w:val="24"/>
        </w:rPr>
        <w:t>符合性审查不合格：</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①项目一般情形：</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包：1</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包一般情形</w:t>
      </w:r>
      <w:r>
        <w:rPr>
          <w:color w:val="auto"/>
        </w:rPr>
        <w:br w:type="textWrapping"/>
      </w:r>
      <w:r>
        <w:rPr>
          <w:rStyle w:val="9"/>
          <w:b/>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技术部分中不得出现报价部分的全部或部分的投标报价信息（或组成资料），否则符合性审查不合格，其投标无效。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投标人技术部分的实际得分不少于招标文件设定的技术部分总分50%，否则其投标无效。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招标文件第五章第二款“技术和服务要求”中以“★”标示的内容为不允许负偏离的实质性要求，否则其投标无效。</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商务部分中不得出现报价部分的全部或部分的投标报价信息（或组成资料），否则符合性审查不合格，其投标无效。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招标文件第五章第三款“商务条件”响应不满足招标文件要求的，其投标无效。</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9"/>
          <w:rFonts w:ascii="宋体" w:hAnsi="宋体" w:eastAsia="宋体" w:cs="宋体"/>
          <w:b/>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6"/>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※同时出现两种以上不一致的，按照前款规定的顺序修正。修正后的报价应按照本章第</w:t>
      </w:r>
      <w:r>
        <w:rPr>
          <w:rStyle w:val="9"/>
          <w:rFonts w:hint="default" w:ascii="Calibri" w:hAnsi="Calibri" w:cs="Calibri"/>
          <w:b/>
          <w:color w:val="auto"/>
          <w:spacing w:val="0"/>
          <w:sz w:val="24"/>
          <w:szCs w:val="24"/>
        </w:rPr>
        <w:t>6.3</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1</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2</w:t>
      </w:r>
      <w:r>
        <w:rPr>
          <w:rStyle w:val="9"/>
          <w:rFonts w:hint="eastAsia" w:ascii="宋体" w:hAnsi="宋体" w:eastAsia="宋体" w:cs="宋体"/>
          <w:b/>
          <w:color w:val="auto"/>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9"/>
          <w:rFonts w:hint="eastAsia" w:ascii="宋体" w:hAnsi="宋体" w:eastAsia="宋体" w:cs="宋体"/>
          <w:b/>
          <w:color w:val="auto"/>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若有相同的最高得分，则其中投标总价低的投标人作为中标候选人推荐；若有相同的最高得分且投标报价相同的，则按技术部分得分从高到低顺序进行排列，技术部分得分最高的投标人作为中标候选人推荐</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处理。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9"/>
          <w:rFonts w:hint="eastAsia" w:ascii="宋体" w:hAnsi="宋体" w:eastAsia="宋体" w:cs="宋体"/>
          <w:b/>
          <w:color w:val="auto"/>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※若废标，则本次采购活动结束，</w:t>
      </w:r>
      <w:r>
        <w:rPr>
          <w:rFonts w:hint="eastAsia" w:ascii="宋体" w:hAnsi="宋体" w:eastAsia="宋体" w:cs="宋体"/>
          <w:color w:val="auto"/>
          <w:spacing w:val="0"/>
          <w:sz w:val="24"/>
          <w:szCs w:val="24"/>
          <w:u w:val="single"/>
        </w:rPr>
        <w:t>福州华腾招标有限公司</w:t>
      </w:r>
      <w:r>
        <w:rPr>
          <w:rStyle w:val="9"/>
          <w:rFonts w:hint="eastAsia" w:ascii="宋体" w:hAnsi="宋体" w:eastAsia="宋体" w:cs="宋体"/>
          <w:b/>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合同包1采用综合评分法。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9"/>
          <w:rFonts w:hint="eastAsia" w:ascii="宋体" w:hAnsi="宋体" w:eastAsia="宋体" w:cs="宋体"/>
          <w:b/>
          <w:color w:val="auto"/>
          <w:sz w:val="24"/>
          <w:szCs w:val="24"/>
          <w:shd w:val="clear" w:fill="FFFFFF"/>
        </w:rPr>
        <w:t>合同包1采用综合评分法</w:t>
      </w:r>
      <w:r>
        <w:rPr>
          <w:rFonts w:hint="eastAsia" w:ascii="宋体" w:hAnsi="宋体" w:eastAsia="宋体" w:cs="宋体"/>
          <w:color w:val="auto"/>
          <w:sz w:val="24"/>
          <w:szCs w:val="24"/>
          <w:shd w:val="clear" w:fill="FFFFFF"/>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813"/>
        <w:gridCol w:w="65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8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50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650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9"/>
                <w:rFonts w:ascii="宋体" w:hAnsi="宋体" w:eastAsia="宋体" w:cs="宋体"/>
                <w:b/>
                <w:color w:val="auto"/>
                <w:kern w:val="0"/>
                <w:sz w:val="24"/>
                <w:szCs w:val="24"/>
                <w:lang w:val="en-US" w:eastAsia="zh-CN" w:bidi="ar"/>
              </w:rPr>
              <w:t>1、对小型、微型企业产品（限货物）的价格给予6%的扣除，投标人、制造企业需提供《中小企业声明函》，未提供者不给予价格扣除。 2、对监狱企业产品（限货物）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分。</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3"/>
        <w:gridCol w:w="398"/>
        <w:gridCol w:w="70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39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0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投标货物的技术规格及要求</w:t>
            </w:r>
          </w:p>
        </w:tc>
        <w:tc>
          <w:tcPr>
            <w:tcW w:w="39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57</w:t>
            </w:r>
          </w:p>
        </w:tc>
        <w:tc>
          <w:tcPr>
            <w:tcW w:w="70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根据各投标人所投货物技术性能以及对招标文件各项基本要求的逐项响应承诺等方面情况由评委进行评议评分（需提供技术和服务要求响应表），投标人所投</w:t>
            </w:r>
            <w:r>
              <w:rPr>
                <w:rFonts w:hint="eastAsia" w:ascii="宋体" w:hAnsi="宋体" w:eastAsia="宋体" w:cs="宋体"/>
                <w:color w:val="auto"/>
                <w:kern w:val="0"/>
                <w:sz w:val="24"/>
                <w:szCs w:val="24"/>
                <w:lang w:val="en-US" w:eastAsia="zh-CN" w:bidi="ar"/>
              </w:rPr>
              <w:t>货物</w:t>
            </w:r>
            <w:r>
              <w:rPr>
                <w:rFonts w:ascii="宋体" w:hAnsi="宋体" w:eastAsia="宋体" w:cs="宋体"/>
                <w:color w:val="auto"/>
                <w:kern w:val="0"/>
                <w:sz w:val="24"/>
                <w:szCs w:val="24"/>
                <w:lang w:val="en-US" w:eastAsia="zh-CN" w:bidi="ar"/>
              </w:rPr>
              <w:t>全部满足招标文件第五章招标内容及要求中“二、技术和服务要求”的得57分；“二、技术和服务要求”中①标注“★”的技术参数为重要参数不允许偏离；”②标注“▲”号的为关键技术参数要求全部满足的得</w:t>
            </w:r>
            <w:r>
              <w:rPr>
                <w:rFonts w:hint="eastAsia" w:ascii="宋体" w:hAnsi="宋体" w:eastAsia="宋体" w:cs="宋体"/>
                <w:color w:val="auto"/>
                <w:kern w:val="0"/>
                <w:sz w:val="24"/>
                <w:szCs w:val="24"/>
                <w:lang w:val="en-US" w:eastAsia="zh-CN" w:bidi="ar"/>
              </w:rPr>
              <w:t>26.5</w:t>
            </w:r>
            <w:r>
              <w:rPr>
                <w:rFonts w:ascii="宋体" w:hAnsi="宋体" w:eastAsia="宋体" w:cs="宋体"/>
                <w:color w:val="auto"/>
                <w:kern w:val="0"/>
                <w:sz w:val="24"/>
                <w:szCs w:val="24"/>
                <w:lang w:val="en-US" w:eastAsia="zh-CN" w:bidi="ar"/>
              </w:rPr>
              <w:t>分，每负偏离一项扣</w:t>
            </w:r>
            <w:r>
              <w:rPr>
                <w:rFonts w:hint="eastAsia" w:ascii="宋体" w:hAnsi="宋体" w:eastAsia="宋体" w:cs="宋体"/>
                <w:color w:val="auto"/>
                <w:kern w:val="0"/>
                <w:sz w:val="24"/>
                <w:szCs w:val="24"/>
                <w:lang w:val="en-US" w:eastAsia="zh-CN" w:bidi="ar"/>
              </w:rPr>
              <w:t>2.65</w:t>
            </w:r>
            <w:r>
              <w:rPr>
                <w:rFonts w:ascii="宋体" w:hAnsi="宋体" w:eastAsia="宋体" w:cs="宋体"/>
                <w:color w:val="auto"/>
                <w:kern w:val="0"/>
                <w:sz w:val="24"/>
                <w:szCs w:val="24"/>
                <w:lang w:val="en-US" w:eastAsia="zh-CN" w:bidi="ar"/>
              </w:rPr>
              <w:t>分，共计</w:t>
            </w: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项；③未标注“▲”号的技术参数全部满足的得</w:t>
            </w:r>
            <w:r>
              <w:rPr>
                <w:rFonts w:hint="eastAsia" w:ascii="宋体" w:hAnsi="宋体" w:eastAsia="宋体" w:cs="宋体"/>
                <w:color w:val="auto"/>
                <w:kern w:val="0"/>
                <w:sz w:val="24"/>
                <w:szCs w:val="24"/>
                <w:lang w:val="en-US" w:eastAsia="zh-CN" w:bidi="ar"/>
              </w:rPr>
              <w:t>30.5</w:t>
            </w:r>
            <w:r>
              <w:rPr>
                <w:rFonts w:ascii="宋体" w:hAnsi="宋体" w:eastAsia="宋体" w:cs="宋体"/>
                <w:color w:val="auto"/>
                <w:kern w:val="0"/>
                <w:sz w:val="24"/>
                <w:szCs w:val="24"/>
                <w:lang w:val="en-US" w:eastAsia="zh-CN" w:bidi="ar"/>
              </w:rPr>
              <w:t>分【其中：品目号1-1（</w:t>
            </w:r>
            <w:r>
              <w:rPr>
                <w:rFonts w:hint="eastAsia" w:ascii="宋体" w:hAnsi="宋体" w:eastAsia="宋体" w:cs="宋体"/>
                <w:color w:val="auto"/>
                <w:kern w:val="0"/>
                <w:sz w:val="24"/>
                <w:szCs w:val="24"/>
                <w:lang w:val="en-US" w:eastAsia="zh-CN" w:bidi="ar"/>
              </w:rPr>
              <w:t>1.1</w:t>
            </w:r>
            <w:r>
              <w:rPr>
                <w:rFonts w:hint="eastAsia" w:asciiTheme="minorEastAsia" w:hAnsiTheme="minorEastAsia" w:eastAsiaTheme="minorEastAsia" w:cstheme="minorEastAsia"/>
                <w:color w:val="auto"/>
                <w:sz w:val="24"/>
                <w:szCs w:val="24"/>
              </w:rPr>
              <w:t>主要技术参数</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计9项，</w:t>
            </w:r>
            <w:r>
              <w:rPr>
                <w:rFonts w:hint="eastAsia" w:ascii="宋体" w:hAnsi="宋体" w:eastAsia="宋体" w:cs="宋体"/>
                <w:color w:val="auto"/>
                <w:kern w:val="0"/>
                <w:sz w:val="24"/>
                <w:szCs w:val="24"/>
                <w:lang w:val="en-US" w:eastAsia="zh-CN" w:bidi="ar"/>
              </w:rPr>
              <w:t>1.2</w:t>
            </w:r>
            <w:r>
              <w:rPr>
                <w:rFonts w:hint="eastAsia" w:asciiTheme="minorEastAsia" w:hAnsiTheme="minorEastAsia" w:eastAsiaTheme="minorEastAsia" w:cstheme="minorEastAsia"/>
                <w:color w:val="auto"/>
                <w:sz w:val="24"/>
                <w:szCs w:val="24"/>
              </w:rPr>
              <w:t>配置参数</w:t>
            </w:r>
            <w:r>
              <w:rPr>
                <w:rFonts w:hint="eastAsia" w:asciiTheme="minorEastAsia" w:hAnsiTheme="minorEastAsia" w:cstheme="minorEastAsia"/>
                <w:color w:val="auto"/>
                <w:sz w:val="24"/>
                <w:szCs w:val="24"/>
                <w:lang w:eastAsia="zh-CN"/>
              </w:rPr>
              <w:t>：</w:t>
            </w:r>
            <w:r>
              <w:rPr>
                <w:rFonts w:hint="eastAsia" w:ascii="宋体" w:hAnsi="宋体" w:eastAsia="宋体" w:cs="宋体"/>
                <w:color w:val="auto"/>
                <w:kern w:val="0"/>
                <w:sz w:val="24"/>
                <w:szCs w:val="24"/>
                <w:lang w:val="en-US" w:eastAsia="zh-CN" w:bidi="ar"/>
              </w:rPr>
              <w:t>计1项，</w:t>
            </w:r>
            <w:r>
              <w:rPr>
                <w:rFonts w:ascii="宋体" w:hAnsi="宋体" w:eastAsia="宋体" w:cs="宋体"/>
                <w:color w:val="auto"/>
                <w:kern w:val="0"/>
                <w:sz w:val="24"/>
                <w:szCs w:val="24"/>
                <w:lang w:val="en-US" w:eastAsia="zh-CN" w:bidi="ar"/>
              </w:rPr>
              <w:t>不含“▲”号）、品目号1-2（</w:t>
            </w:r>
            <w:r>
              <w:rPr>
                <w:rFonts w:hint="eastAsia" w:ascii="宋体" w:hAnsi="宋体" w:eastAsia="宋体" w:cs="宋体"/>
                <w:color w:val="auto"/>
                <w:kern w:val="0"/>
                <w:sz w:val="24"/>
                <w:szCs w:val="24"/>
                <w:lang w:val="en-US" w:eastAsia="zh-CN" w:bidi="ar"/>
              </w:rPr>
              <w:t>2.1</w:t>
            </w:r>
            <w:r>
              <w:rPr>
                <w:rFonts w:hint="eastAsia" w:asciiTheme="minorEastAsia" w:hAnsiTheme="minorEastAsia" w:eastAsiaTheme="minorEastAsia" w:cstheme="minorEastAsia"/>
                <w:color w:val="auto"/>
                <w:sz w:val="24"/>
                <w:szCs w:val="24"/>
              </w:rPr>
              <w:t>主要技术参数</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计5</w:t>
            </w:r>
            <w:r>
              <w:rPr>
                <w:rFonts w:hint="eastAsia" w:ascii="宋体" w:hAnsi="宋体" w:eastAsia="宋体" w:cs="宋体"/>
                <w:color w:val="auto"/>
                <w:kern w:val="0"/>
                <w:sz w:val="24"/>
                <w:szCs w:val="24"/>
                <w:lang w:val="en-US" w:eastAsia="zh-CN" w:bidi="ar"/>
              </w:rPr>
              <w:t>0</w:t>
            </w:r>
            <w:r>
              <w:rPr>
                <w:rFonts w:ascii="宋体" w:hAnsi="宋体" w:eastAsia="宋体" w:cs="宋体"/>
                <w:color w:val="auto"/>
                <w:kern w:val="0"/>
                <w:sz w:val="24"/>
                <w:szCs w:val="24"/>
                <w:lang w:val="en-US" w:eastAsia="zh-CN" w:bidi="ar"/>
              </w:rPr>
              <w:t>项，</w:t>
            </w:r>
            <w:r>
              <w:rPr>
                <w:rFonts w:hint="eastAsia" w:ascii="宋体" w:hAnsi="宋体" w:eastAsia="宋体" w:cs="宋体"/>
                <w:color w:val="auto"/>
                <w:kern w:val="0"/>
                <w:sz w:val="24"/>
                <w:szCs w:val="24"/>
                <w:lang w:val="en-US" w:eastAsia="zh-CN" w:bidi="ar"/>
              </w:rPr>
              <w:t>2.2</w:t>
            </w:r>
            <w:r>
              <w:rPr>
                <w:rFonts w:hint="eastAsia" w:asciiTheme="minorEastAsia" w:hAnsiTheme="minorEastAsia" w:eastAsiaTheme="minorEastAsia" w:cstheme="minorEastAsia"/>
                <w:color w:val="auto"/>
                <w:sz w:val="24"/>
                <w:szCs w:val="24"/>
              </w:rPr>
              <w:t>配置参数</w:t>
            </w:r>
            <w:r>
              <w:rPr>
                <w:rFonts w:hint="eastAsia" w:asciiTheme="minorEastAsia" w:hAnsiTheme="minorEastAsia" w:cstheme="minorEastAsia"/>
                <w:color w:val="auto"/>
                <w:sz w:val="24"/>
                <w:szCs w:val="24"/>
                <w:lang w:val="en-US" w:eastAsia="zh-CN"/>
              </w:rPr>
              <w:t>:</w:t>
            </w:r>
            <w:bookmarkStart w:id="0" w:name="_GoBack"/>
            <w:bookmarkEnd w:id="0"/>
            <w:r>
              <w:rPr>
                <w:rFonts w:hint="eastAsia" w:ascii="宋体" w:hAnsi="宋体" w:eastAsia="宋体" w:cs="宋体"/>
                <w:color w:val="auto"/>
                <w:kern w:val="0"/>
                <w:sz w:val="24"/>
                <w:szCs w:val="24"/>
                <w:lang w:val="en-US" w:eastAsia="zh-CN" w:bidi="ar"/>
              </w:rPr>
              <w:t>计1项，</w:t>
            </w:r>
            <w:r>
              <w:rPr>
                <w:rFonts w:ascii="宋体" w:hAnsi="宋体" w:eastAsia="宋体" w:cs="宋体"/>
                <w:color w:val="auto"/>
                <w:kern w:val="0"/>
                <w:sz w:val="24"/>
                <w:szCs w:val="24"/>
                <w:lang w:val="en-US" w:eastAsia="zh-CN" w:bidi="ar"/>
              </w:rPr>
              <w:t>不含“▲”号）】合计</w:t>
            </w:r>
            <w:r>
              <w:rPr>
                <w:rFonts w:hint="eastAsia" w:ascii="宋体" w:hAnsi="宋体" w:eastAsia="宋体" w:cs="宋体"/>
                <w:color w:val="auto"/>
                <w:kern w:val="0"/>
                <w:sz w:val="24"/>
                <w:szCs w:val="24"/>
                <w:lang w:val="en-US" w:eastAsia="zh-CN" w:bidi="ar"/>
              </w:rPr>
              <w:t>61</w:t>
            </w:r>
            <w:r>
              <w:rPr>
                <w:rFonts w:ascii="宋体" w:hAnsi="宋体" w:eastAsia="宋体" w:cs="宋体"/>
                <w:color w:val="auto"/>
                <w:kern w:val="0"/>
                <w:sz w:val="24"/>
                <w:szCs w:val="24"/>
                <w:lang w:val="en-US" w:eastAsia="zh-CN" w:bidi="ar"/>
              </w:rPr>
              <w:t>项，每负偏离一项扣</w:t>
            </w:r>
            <w:r>
              <w:rPr>
                <w:rFonts w:hint="eastAsia" w:ascii="宋体" w:hAnsi="宋体" w:eastAsia="宋体" w:cs="宋体"/>
                <w:color w:val="auto"/>
                <w:kern w:val="0"/>
                <w:sz w:val="24"/>
                <w:szCs w:val="24"/>
                <w:lang w:val="en-US" w:eastAsia="zh-CN" w:bidi="ar"/>
              </w:rPr>
              <w:t>0.5</w:t>
            </w:r>
            <w:r>
              <w:rPr>
                <w:rFonts w:ascii="宋体" w:hAnsi="宋体" w:eastAsia="宋体" w:cs="宋体"/>
                <w:color w:val="auto"/>
                <w:kern w:val="0"/>
                <w:sz w:val="24"/>
                <w:szCs w:val="24"/>
                <w:lang w:val="en-US" w:eastAsia="zh-CN" w:bidi="ar"/>
              </w:rPr>
              <w:t>分，评委将按照上述评分标准计算投标人的技术指标得分。（满分57分）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所投货物技术说明材料佐证情况</w:t>
            </w:r>
          </w:p>
        </w:tc>
        <w:tc>
          <w:tcPr>
            <w:tcW w:w="39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0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所投货物技术说明材料佐证情况由评委进行评议评分，投标人提供的技术说明材料完整且能佐证所投货物的主要技术参数及功能的得3.；技术说明材料仅能部分佐证所投货物的主要技术参数及功能的得1.5分；未提供技术说明材料，或提供的技术说明材料与所投货物的规格型号不一致，或技术说明材料不能佐证所投货物的主要技术参数及功能的本项不得分。（满分3分）</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分。</w:t>
      </w:r>
    </w:p>
    <w:tbl>
      <w:tblPr>
        <w:tblStyle w:val="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5"/>
        <w:gridCol w:w="598"/>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655"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98"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063"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5"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认证证书</w:t>
            </w:r>
          </w:p>
        </w:tc>
        <w:tc>
          <w:tcPr>
            <w:tcW w:w="598"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063"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投标人具有质量管理体系认证证书的得1分，投标人具有环境管理体系认证证书的得1分。投标人需提供有效期内的认证证书复印件，未提供的不得分。（满分2分）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655"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业绩情况</w:t>
            </w:r>
          </w:p>
        </w:tc>
        <w:tc>
          <w:tcPr>
            <w:tcW w:w="598"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063"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2018年起至本项目投标截止时间止(日期以合同签订时间为准)同类产品在中国境内的销售业绩情况由评委进行评分：每提供一份业绩得1分，满分3分。投标人应如实提供该业绩项目的中标公告（提供相关政府采购网站中标公告的下载网页并注明网址）、中标通知书复印件、采购合同文本复印件，以及能够证明</w:t>
            </w:r>
            <w:r>
              <w:rPr>
                <w:rFonts w:ascii="宋体" w:hAnsi="宋体" w:eastAsia="宋体" w:cs="宋体"/>
                <w:color w:val="auto"/>
                <w:kern w:val="0"/>
                <w:sz w:val="24"/>
                <w:szCs w:val="24"/>
                <w:lang w:val="en-US" w:eastAsia="zh-CN" w:bidi="ar"/>
              </w:rPr>
              <w:t>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655"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维修服务响应情况</w:t>
            </w:r>
          </w:p>
        </w:tc>
        <w:tc>
          <w:tcPr>
            <w:tcW w:w="598"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063"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针对本项目的维修服务响应情况进行评分，在满足招标文件要求的基础时，维修服务响应时间承诺在接到采购人故障通知后给予明确的答复，并在12小时内委派专业技术人员到现场免费提供咨询、维修和更换零部件等服务，并及时填写维修报告（包括故障原因、处理情况及买方意见等）报采购人备案，若24小时内无法排除故障，提供同种档次备用机供采购人使用的得3分；投标人需提供相关承诺函，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5"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质保期时间承诺情况</w:t>
            </w:r>
          </w:p>
        </w:tc>
        <w:tc>
          <w:tcPr>
            <w:tcW w:w="598"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063" w:type="dxa"/>
            <w:tcBorders>
              <w:tl2br w:val="nil"/>
              <w:tr2bl w:val="nil"/>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根据各投标人提供的质保期时间承诺情况进行评分，满足招标文件要求的不得分，在不增加费用的情况下，每增加一年加1分，满分2分，其余不得分。（满分2分）</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6"/>
        <w:keepNext w:val="0"/>
        <w:keepLines w:val="0"/>
        <w:widowControl/>
        <w:suppressLineNumbers w:val="0"/>
        <w:spacing w:before="0" w:beforeAutospacing="0" w:after="150" w:afterAutospacing="0"/>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655"/>
        <w:gridCol w:w="1148"/>
        <w:gridCol w:w="4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265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114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45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5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节能产品、环境标志产品</w:t>
            </w:r>
          </w:p>
        </w:tc>
        <w:tc>
          <w:tcPr>
            <w:tcW w:w="114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7.2</w:t>
            </w:r>
          </w:p>
        </w:tc>
        <w:tc>
          <w:tcPr>
            <w:tcW w:w="45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第五章</w:t>
      </w:r>
      <w:r>
        <w:rPr>
          <w:rStyle w:val="9"/>
          <w:b/>
          <w:color w:val="auto"/>
          <w:spacing w:val="0"/>
          <w:sz w:val="31"/>
          <w:szCs w:val="31"/>
        </w:rPr>
        <w:t>   </w:t>
      </w:r>
      <w:r>
        <w:rPr>
          <w:rStyle w:val="9"/>
          <w:rFonts w:hint="eastAsia" w:ascii="宋体" w:hAnsi="宋体" w:eastAsia="宋体" w:cs="宋体"/>
          <w:b/>
          <w:color w:val="auto"/>
          <w:spacing w:val="0"/>
          <w:sz w:val="31"/>
          <w:szCs w:val="31"/>
        </w:rPr>
        <w:t>招标内容及要求</w:t>
      </w:r>
    </w:p>
    <w:p>
      <w:pPr>
        <w:pStyle w:val="6"/>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一、项目概况（采购标的）</w:t>
      </w:r>
    </w:p>
    <w:p>
      <w:pPr>
        <w:pStyle w:val="6"/>
        <w:keepNext w:val="0"/>
        <w:keepLines w:val="0"/>
        <w:widowControl/>
        <w:suppressLineNumbers w:val="0"/>
        <w:spacing w:before="75" w:beforeAutospacing="0" w:after="75" w:afterAutospacing="0" w:line="405"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1、本次招标采购的产品和服务主要用于福建省立医院使用。投标人提供的所有产品必须通过合法渠道获得，为全新原装品 牌货物或货物。设备技术参数必须符合或优于国家及行业相关标准。</w:t>
      </w:r>
    </w:p>
    <w:p>
      <w:pPr>
        <w:pStyle w:val="6"/>
        <w:keepNext w:val="0"/>
        <w:keepLines w:val="0"/>
        <w:widowControl/>
        <w:suppressLineNumbers w:val="0"/>
        <w:spacing w:before="75" w:beforeAutospacing="0" w:after="75" w:afterAutospacing="0" w:line="405"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2、投标人应以包括货物所涉及的有关项目的所有费用进行报价，包括：产品制造、运输、保险、安装、调试、搬运及设备就位、培训、保修、备品备件、专用工具、外贸代 理费（若有）、关税等一切相关费用。</w:t>
      </w:r>
    </w:p>
    <w:p>
      <w:pPr>
        <w:pStyle w:val="6"/>
        <w:keepNext w:val="0"/>
        <w:keepLines w:val="0"/>
        <w:widowControl/>
        <w:suppressLineNumbers w:val="0"/>
        <w:spacing w:before="75" w:beforeAutospacing="0" w:after="75" w:afterAutospacing="0" w:line="405"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3、投标人务必仔细阅读招标文件中所规定的，其中包括技术规格在内的所有细则。</w:t>
      </w:r>
    </w:p>
    <w:p>
      <w:pPr>
        <w:pStyle w:val="6"/>
        <w:keepNext w:val="0"/>
        <w:keepLines w:val="0"/>
        <w:widowControl/>
        <w:suppressLineNumbers w:val="0"/>
        <w:spacing w:before="0" w:beforeAutospacing="0" w:after="150" w:afterAutospacing="0" w:line="34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4、核心产品：采购货物标示“◆”为核心产品，若提供相同品 牌产品的不同投标人参加同一合同项下投标的，按招标文件相关规定执行。</w:t>
      </w:r>
    </w:p>
    <w:p>
      <w:pPr>
        <w:pStyle w:val="6"/>
        <w:keepNext w:val="0"/>
        <w:keepLines w:val="0"/>
        <w:widowControl/>
        <w:suppressLineNumbers w:val="0"/>
        <w:spacing w:before="0" w:beforeAutospacing="0" w:after="150" w:afterAutospacing="0" w:line="34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5、采购货物标示“★”为不允许负偏离的实质性要求的</w:t>
      </w:r>
      <w:r>
        <w:rPr>
          <w:rFonts w:hint="eastAsia" w:asciiTheme="minorEastAsia" w:hAnsiTheme="minorEastAsia" w:eastAsiaTheme="minorEastAsia" w:cstheme="minorEastAsia"/>
          <w:color w:val="auto"/>
          <w:sz w:val="24"/>
          <w:szCs w:val="24"/>
          <w:lang w:val="en-US" w:eastAsia="zh-CN"/>
        </w:rPr>
        <w:t>技术</w:t>
      </w:r>
      <w:r>
        <w:rPr>
          <w:rFonts w:hint="eastAsia" w:asciiTheme="minorEastAsia" w:hAnsiTheme="minorEastAsia" w:eastAsiaTheme="minorEastAsia" w:cstheme="minorEastAsia"/>
          <w:color w:val="auto"/>
          <w:sz w:val="24"/>
          <w:szCs w:val="24"/>
        </w:rPr>
        <w:t>参数。</w:t>
      </w:r>
    </w:p>
    <w:p>
      <w:pPr>
        <w:pStyle w:val="6"/>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二、技术和服务要求</w:t>
      </w:r>
      <w:r>
        <w:rPr>
          <w:rStyle w:val="9"/>
          <w:rFonts w:hint="eastAsia" w:asciiTheme="minorEastAsia" w:hAnsiTheme="minorEastAsia" w:eastAsiaTheme="minorEastAsia" w:cstheme="minorEastAsia"/>
          <w:b/>
          <w:color w:val="auto"/>
          <w:spacing w:val="0"/>
          <w:sz w:val="24"/>
          <w:szCs w:val="24"/>
        </w:rPr>
        <w:t>（以“★”标示的内容为不允许负偏离的实质性要求）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（一）合同包1  品号目1-1   移动微生物实验室车辆   数量：1套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1.1 主要技术参数：</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38"/>
        <w:gridCol w:w="1550"/>
        <w:gridCol w:w="533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设备名 称</w:t>
            </w:r>
          </w:p>
        </w:tc>
        <w:tc>
          <w:tcPr>
            <w:tcW w:w="5330" w:type="dxa"/>
            <w:tcBorders>
              <w:tl2br w:val="nil"/>
              <w:tr2bl w:val="nil"/>
            </w:tcBorders>
            <w:shd w:val="clear" w:color="auto" w:fill="auto"/>
            <w:tcMar>
              <w:top w:w="0" w:type="dxa"/>
              <w:left w:w="105" w:type="dxa"/>
              <w:bottom w:w="0" w:type="dxa"/>
              <w:right w:w="105" w:type="dxa"/>
            </w:tcMar>
            <w:vAlign w:val="top"/>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技术指标要求</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移动微生物实验室车辆</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类型:选用国内二类底盘；</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w:t>
            </w:r>
          </w:p>
        </w:tc>
        <w:tc>
          <w:tcPr>
            <w:tcW w:w="5330" w:type="dxa"/>
            <w:tcBorders>
              <w:tl2br w:val="nil"/>
              <w:tr2bl w:val="nil"/>
            </w:tcBorders>
            <w:shd w:val="clear" w:color="auto" w:fill="auto"/>
            <w:tcMar>
              <w:top w:w="0" w:type="dxa"/>
              <w:left w:w="105" w:type="dxa"/>
              <w:bottom w:w="0" w:type="dxa"/>
              <w:right w:w="105" w:type="dxa"/>
            </w:tcMar>
            <w:vAlign w:val="top"/>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外形尺寸（mm）：≤8790×2470×2950；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驱动方式：4×2；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轴距（mm）：≥5000；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前轮距（mm）：≥1920；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后轮距（mm）：≥1860；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前悬/后悬（mm）：≥1400/2805；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接近角/离去角(°):≥17/18；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发动机：V型6 缸涡轮增压中冷；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排放标准：GB17691-2018国Ⅵ；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发动机功率（KW）：≥169；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排量（ml）：≥6700；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总质量（kg）: ≥18000；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整备质量（kg）：≤5900；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最高车速（(km/h）：≥89；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车轮数量：6；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轮胎：275/80R22.5 18PR。</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需提供工信部网站车辆底盘公告查询截图</w:t>
            </w:r>
            <w:r>
              <w:rPr>
                <w:rFonts w:hint="eastAsia" w:asciiTheme="minorEastAsia" w:hAnsiTheme="minorEastAsia" w:eastAsiaTheme="minorEastAsia" w:cstheme="minorEastAsia"/>
                <w:color w:val="auto"/>
                <w:sz w:val="24"/>
                <w:szCs w:val="24"/>
              </w:rPr>
              <w:t>【佐证材料1】</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6"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底盘改装</w:t>
            </w:r>
          </w:p>
        </w:tc>
        <w:tc>
          <w:tcPr>
            <w:tcW w:w="5330" w:type="dxa"/>
            <w:tcBorders>
              <w:tl2br w:val="nil"/>
              <w:tr2bl w:val="nil"/>
            </w:tcBorders>
            <w:shd w:val="clear" w:color="auto" w:fill="auto"/>
            <w:tcMar>
              <w:top w:w="0" w:type="dxa"/>
              <w:left w:w="105" w:type="dxa"/>
              <w:bottom w:w="0" w:type="dxa"/>
              <w:right w:w="105" w:type="dxa"/>
            </w:tcMar>
            <w:vAlign w:val="top"/>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加装副车架，采用高强度钢型材，应对钢型材做防锈防腐处理。</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电动支撑腿</w:t>
            </w:r>
          </w:p>
        </w:tc>
        <w:tc>
          <w:tcPr>
            <w:tcW w:w="5330" w:type="dxa"/>
            <w:tcBorders>
              <w:tl2br w:val="nil"/>
              <w:tr2bl w:val="nil"/>
            </w:tcBorders>
            <w:shd w:val="clear" w:color="auto" w:fill="auto"/>
            <w:tcMar>
              <w:top w:w="0" w:type="dxa"/>
              <w:left w:w="105" w:type="dxa"/>
              <w:bottom w:w="0" w:type="dxa"/>
              <w:right w:w="105" w:type="dxa"/>
            </w:tcMar>
            <w:vAlign w:val="top"/>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底盘加装4个电动支撑腿，能够自动调平，每个支撑腿载重不小于5dun。</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裙边箱</w:t>
            </w:r>
          </w:p>
        </w:tc>
        <w:tc>
          <w:tcPr>
            <w:tcW w:w="5330" w:type="dxa"/>
            <w:tcBorders>
              <w:tl2br w:val="nil"/>
              <w:tr2bl w:val="nil"/>
            </w:tcBorders>
            <w:shd w:val="clear" w:color="auto" w:fill="auto"/>
            <w:tcMar>
              <w:top w:w="0" w:type="dxa"/>
              <w:left w:w="105" w:type="dxa"/>
              <w:bottom w:w="0" w:type="dxa"/>
              <w:right w:w="105" w:type="dxa"/>
            </w:tcMar>
            <w:vAlign w:val="top"/>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底盘两边设置裙边箱,裙边箱板材采用厚度≥1.5mm厚的Q235钢板制作而成，内部采用角钢和矩形钢管等制作加强骨架，保证足够的强度和刚度，舱门处设置防水密封条，保证裙边箱良好的防水性。</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土木工具</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配置铁锹、撬棒、榔头、铁铲、十字镐、锯子。</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警灯</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工作电压：24（V）；类型：LED警示灯；颜色：蓝色；功率：100W。</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蹬车梯</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采用高强度钢型材，应对钢型材做防锈防腐处理。</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倒车影像</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显示器：≥7寸液晶；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分辨率：≥800×400；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输入电压：24V。</w:t>
            </w:r>
          </w:p>
        </w:tc>
        <w:tc>
          <w:tcPr>
            <w:tcW w:w="89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8"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9. </w:t>
            </w:r>
          </w:p>
        </w:tc>
        <w:tc>
          <w:tcPr>
            <w:tcW w:w="155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改装后车辆指标</w:t>
            </w:r>
          </w:p>
        </w:tc>
        <w:tc>
          <w:tcPr>
            <w:tcW w:w="5330" w:type="dxa"/>
            <w:tcBorders>
              <w:tl2br w:val="nil"/>
              <w:tr2bl w:val="nil"/>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整车外形尺寸（mm）：</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9210×2530×3750，误差不超过10mm；</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整车重量（kg）：≤13000。</w:t>
            </w:r>
          </w:p>
        </w:tc>
        <w:tc>
          <w:tcPr>
            <w:tcW w:w="898"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rPr>
                <w:rFonts w:hint="eastAsia" w:asciiTheme="minorEastAsia" w:hAnsiTheme="minorEastAsia" w:eastAsiaTheme="minorEastAsia" w:cstheme="minorEastAsia"/>
                <w:color w:val="auto"/>
                <w:sz w:val="24"/>
                <w:szCs w:val="24"/>
              </w:rPr>
            </w:pPr>
          </w:p>
        </w:tc>
      </w:tr>
    </w:tbl>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 配置清单</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27"/>
        <w:gridCol w:w="4499"/>
        <w:gridCol w:w="96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5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Style w:val="9"/>
                <w:rFonts w:hint="eastAsia" w:asciiTheme="minorEastAsia" w:hAnsiTheme="minorEastAsia" w:eastAsiaTheme="minorEastAsia" w:cstheme="minorEastAsia"/>
                <w:b/>
                <w:color w:val="auto"/>
                <w:sz w:val="24"/>
                <w:szCs w:val="24"/>
              </w:rPr>
              <w:t>移动微生物实验室车辆</w:t>
            </w:r>
          </w:p>
        </w:tc>
        <w:tc>
          <w:tcPr>
            <w:tcW w:w="96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c>
          <w:tcPr>
            <w:tcW w:w="152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底盘改装</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裙边箱</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电动调平千斤顶</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警报警灯</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外接电源线</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449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倒车影像系统</w:t>
            </w:r>
          </w:p>
        </w:tc>
        <w:tc>
          <w:tcPr>
            <w:tcW w:w="96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2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bl>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p>
    <w:p>
      <w:pPr>
        <w:pStyle w:val="6"/>
        <w:keepNext w:val="0"/>
        <w:keepLines w:val="0"/>
        <w:widowControl/>
        <w:numPr>
          <w:ilvl w:val="0"/>
          <w:numId w:val="1"/>
        </w:numPr>
        <w:suppressLineNumbers w:val="0"/>
        <w:spacing w:before="0" w:beforeAutospacing="0" w:after="150" w:afterAutospacing="0"/>
        <w:ind w:left="0" w:righ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合同包1 ◆品号目1-2 移动微生物实验室车辆配套设施及实验设备  </w:t>
      </w:r>
    </w:p>
    <w:p>
      <w:pPr>
        <w:pStyle w:val="6"/>
        <w:keepNext w:val="0"/>
        <w:keepLines w:val="0"/>
        <w:widowControl/>
        <w:numPr>
          <w:ilvl w:val="0"/>
          <w:numId w:val="0"/>
        </w:numPr>
        <w:suppressLineNumbers w:val="0"/>
        <w:spacing w:before="0" w:beforeAutospacing="0" w:after="150" w:afterAutospacing="0"/>
        <w:ind w:right="0" w:rightChars="0" w:firstLine="723" w:firstLineChars="3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数量：1套</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2.1 主要技术参数：</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33"/>
        <w:gridCol w:w="1934"/>
        <w:gridCol w:w="5292"/>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设备名 称</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技术指标要求</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移动微生物实验室车辆配套设施及实验设备</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用于重大突发公共卫生事件、事故，涉及生物因子的现场侦检。平时用于自然疫源性疾病等病原检测需要。</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实验室的设 计要符合以下标准</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GB19489-2008（或最新）</w:t>
            </w:r>
            <w:r>
              <w:rPr>
                <w:rFonts w:hint="eastAsia" w:asciiTheme="minorEastAsia" w:hAnsiTheme="minorEastAsia" w:eastAsiaTheme="minorEastAsia" w:cstheme="minorEastAsia"/>
                <w:color w:val="auto"/>
                <w:sz w:val="24"/>
                <w:szCs w:val="24"/>
              </w:rPr>
              <w:t>《实验室 生物安全通用要求》</w:t>
            </w:r>
          </w:p>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 50346-2004 （或最新）</w:t>
            </w:r>
            <w:r>
              <w:rPr>
                <w:rFonts w:hint="eastAsia" w:asciiTheme="minorEastAsia" w:hAnsiTheme="minorEastAsia" w:eastAsiaTheme="minorEastAsia" w:cstheme="minorEastAsia"/>
                <w:color w:val="auto"/>
                <w:sz w:val="24"/>
                <w:szCs w:val="24"/>
              </w:rPr>
              <w:t>《生物安全实验室建筑技术规范》</w:t>
            </w:r>
          </w:p>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 1589-2004（或最新）</w:t>
            </w:r>
            <w:r>
              <w:rPr>
                <w:rFonts w:hint="eastAsia" w:asciiTheme="minorEastAsia" w:hAnsiTheme="minorEastAsia" w:eastAsiaTheme="minorEastAsia" w:cstheme="minorEastAsia"/>
                <w:color w:val="auto"/>
                <w:sz w:val="24"/>
                <w:szCs w:val="24"/>
              </w:rPr>
              <w:t>《道路车辆外廓尺寸、轴荷及质量限值》</w:t>
            </w:r>
          </w:p>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 7258-2012（或最新）</w:t>
            </w:r>
            <w:r>
              <w:rPr>
                <w:rFonts w:hint="eastAsia" w:asciiTheme="minorEastAsia" w:hAnsiTheme="minorEastAsia" w:eastAsiaTheme="minorEastAsia" w:cstheme="minorEastAsia"/>
                <w:color w:val="auto"/>
                <w:sz w:val="24"/>
                <w:szCs w:val="24"/>
              </w:rPr>
              <w:t>《机动车运行安全技术条件》</w:t>
            </w:r>
          </w:p>
          <w:p>
            <w:pPr>
              <w:pStyle w:val="6"/>
              <w:keepNext w:val="0"/>
              <w:keepLines w:val="0"/>
              <w:widowControl/>
              <w:suppressLineNumbers w:val="0"/>
              <w:spacing w:before="0" w:beforeAutospacing="0" w:after="150" w:afterAutospacing="0"/>
              <w:ind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GJB5113-2004（或最新）</w:t>
            </w:r>
            <w:r>
              <w:rPr>
                <w:rFonts w:hint="eastAsia" w:asciiTheme="minorEastAsia" w:hAnsiTheme="minorEastAsia" w:eastAsiaTheme="minorEastAsia" w:cstheme="minorEastAsia"/>
                <w:color w:val="auto"/>
                <w:sz w:val="24"/>
                <w:szCs w:val="24"/>
              </w:rPr>
              <w:t>《后勤厢式车通用规范》</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ISO 1590：2003(E) 《医学实验室—安全要求》</w:t>
            </w:r>
          </w:p>
          <w:p>
            <w:pPr>
              <w:pStyle w:val="6"/>
              <w:keepNext w:val="0"/>
              <w:keepLines w:val="0"/>
              <w:widowControl/>
              <w:suppressLineNumbers w:val="0"/>
              <w:spacing w:before="0" w:beforeAutospacing="0" w:after="150" w:afterAutospacing="0"/>
              <w:ind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WHO《实验室生物安全手册》</w:t>
            </w:r>
          </w:p>
        </w:tc>
        <w:tc>
          <w:tcPr>
            <w:tcW w:w="55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布局</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实验室外形尺寸（mm）：6800×2400×2500，误差不超过10mm。</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 计有缓冲间（更衣间）、实验间（核心区）、送风空调间、排风净化间四个部分。需提供由</w:t>
            </w:r>
            <w:r>
              <w:rPr>
                <w:rFonts w:hint="eastAsia" w:asciiTheme="minorEastAsia" w:hAnsiTheme="minorEastAsia" w:eastAsiaTheme="minorEastAsia" w:cstheme="minorEastAsia"/>
                <w:color w:val="auto"/>
                <w:sz w:val="24"/>
                <w:szCs w:val="24"/>
              </w:rPr>
              <w:t>国家认可的检测机构出具的检测报告。【佐证材料2】</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缓冲间、实验间内高≥2000mm；</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缓冲间面积≥2㎡；实验间≥9㎡。</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实验间采用双侧布置的方式，左右侧布置工作台，中间为人员通道。内置生物安全柜、灭菌器、培养箱、冰箱、洗手池、检验设备等。</w:t>
            </w:r>
          </w:p>
        </w:tc>
        <w:tc>
          <w:tcPr>
            <w:tcW w:w="55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实验室及附件</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实验室应采用大板式结构。实验室壁板为铝蒙皮硬质聚氨酯夹芯大板式结构。采用大板压机热压一次成型，大板胶采用环氧树脂大板胶。不接受发泡制板工艺。</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壁板厚度为≥51mm，其中内外蒙皮为≥1.2mm铝板，硬质聚氨酯泡沫厚度≥49mm，隔热板为≥6mmPVC。</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壁板平面度：700mm×700mm范围内，其平面度误差不大于1.5mm。</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壁板强度：可承受均布静载荷：≥2kN/m2；集中静载荷：面积为300mm×600mm，静载荷≥3kN。</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▲壁板耐高温性：可耐受70℃高温，不脱胶；需提供由</w:t>
            </w:r>
            <w:r>
              <w:rPr>
                <w:rFonts w:hint="eastAsia" w:asciiTheme="minorEastAsia" w:hAnsiTheme="minorEastAsia" w:eastAsiaTheme="minorEastAsia" w:cstheme="minorEastAsia"/>
                <w:color w:val="auto"/>
                <w:sz w:val="24"/>
                <w:szCs w:val="24"/>
              </w:rPr>
              <w:t>国家认可的检测机构出具的检测报告。【佐证材料3】</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▲壁板耐低温性：可耐受-55℃低温，不脱胶；需提供由</w:t>
            </w:r>
            <w:r>
              <w:rPr>
                <w:rFonts w:hint="eastAsia" w:asciiTheme="minorEastAsia" w:hAnsiTheme="minorEastAsia" w:eastAsiaTheme="minorEastAsia" w:cstheme="minorEastAsia"/>
                <w:color w:val="auto"/>
                <w:sz w:val="24"/>
                <w:szCs w:val="24"/>
              </w:rPr>
              <w:t>国家认可的检测机构出具的检测报告。【佐证材料4】</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壁板耐日晒性：在太阳辐射强度1120w/m2条件下，不会发生变形以及发粘、龟裂、损坏等现象；</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壁板耐霉菌性：能耐受各类霉菌、真菌、的有害影响。</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▲壁板耐湿度性：能耐受相对湿度不大于90%（40℃）要求；需提供由</w:t>
            </w:r>
            <w:r>
              <w:rPr>
                <w:rFonts w:hint="eastAsia" w:asciiTheme="minorEastAsia" w:hAnsiTheme="minorEastAsia" w:eastAsiaTheme="minorEastAsia" w:cstheme="minorEastAsia"/>
                <w:color w:val="auto"/>
                <w:sz w:val="24"/>
                <w:szCs w:val="24"/>
              </w:rPr>
              <w:t>国家认可的检测机构出具的检测报告。【佐证材料5】</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▲壁板耐盐雾腐蚀性：能抵抗我国沿海地区盐雾腐蚀环境的有害影响；需提供由</w:t>
            </w:r>
            <w:r>
              <w:rPr>
                <w:rFonts w:hint="eastAsia" w:asciiTheme="minorEastAsia" w:hAnsiTheme="minorEastAsia" w:eastAsiaTheme="minorEastAsia" w:cstheme="minorEastAsia"/>
                <w:color w:val="auto"/>
                <w:sz w:val="24"/>
                <w:szCs w:val="24"/>
              </w:rPr>
              <w:t>国家认可的检测机构出具的检测报告。【佐证材料6】</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壁板阻燃性：具有阻燃性，离火自熄；</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壁板环保性：满足E0级环保要求。</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实验间、缓冲间内部地板采用实验室专业地板，侧板和顶板喷涂环氧树脂涂层。送风空调设备间和排风净化设备间地板采用花纹铝板铺设，侧板和顶板安装吸音孔板。</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实验室壁板间采用圆弧角结构，三面交角采用三维圆弧角过渡连接，大板拼舱联接结构。所有开设孔口采取密封措施；所有的电缆和管线采用穿隔密封。</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实验室门窗</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门均采用铝合金型材结构，所有门锁采用三叉锁，方舱内门均采用压把锁，实验间各门均安装电磁锁以实现开关门互控，安装闭门器实现自动关门；缓冲间外门采用机械密码锁。缓冲间入口门和实验间门设置互锁功能，紧急情况下可同时开启。</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缓冲间左侧设置入口门，通过尺寸</w:t>
            </w:r>
            <w:r>
              <w:rPr>
                <w:rFonts w:hint="eastAsia" w:asciiTheme="minorEastAsia" w:hAnsiTheme="minorEastAsia" w:eastAsiaTheme="minorEastAsia" w:cstheme="minorEastAsia"/>
                <w:color w:val="auto"/>
                <w:sz w:val="24"/>
                <w:szCs w:val="24"/>
              </w:rPr>
              <w:t>≥800mm×1900mm。</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进入核心实验间的门为无槛门结构，采用门体下边具有升降密封条实现闭门时密封。该门通过尺寸≥800mm×1850mm。</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实验室入口门和实验间门均设置观察窗。在主实验间左侧板开1只采光窗，右侧开2只采光窗。</w:t>
            </w:r>
          </w:p>
        </w:tc>
        <w:tc>
          <w:tcPr>
            <w:tcW w:w="55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实验室外油漆</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实验室外部面漆采用丙烯酸聚氨酯磁漆，喷涂工作需要在专业的大型烘漆房内完成，确保涂层均匀、无流痕、皱纹、漏涂、起泡、裂缝、划伤等缺陷。漆膜厚度不小于90um。</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缓冲间入口处有国 际通用生物学危险符号。同时明确负责人姓名、紧急联络方式等。生物危险符号的颜色为黑色，背景为黄色。安全操作部位有警示标记。</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实验室内饰</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内饰采用丙烯酸聚氨酯磁漆，喷涂工作需要在专业的大型烘漆房内完成，确保涂层均匀、无流痕、皱纹、漏涂、起泡、裂缝、划伤等缺陷。漆膜厚度不小于90um。</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地板</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实验室内地板采用防腐、防静电蓝色地板革。</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地板革厚度≥1.5mm。</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实验室功能参数指标</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能有效开展各类样本的病原学和卫生学指标检测，环境条件符合检测质量控制与生物安全的要求。</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Style w:val="9"/>
                <w:rFonts w:hint="eastAsia" w:asciiTheme="minorEastAsia" w:hAnsiTheme="minorEastAsia" w:eastAsiaTheme="minorEastAsia" w:cstheme="minorEastAsia"/>
                <w:b/>
                <w:color w:val="auto"/>
                <w:sz w:val="24"/>
                <w:szCs w:val="24"/>
              </w:rPr>
              <w:t>▲A、实验间功能参数指标：</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洁净度级别：7级（万级净化）或优于；</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夏季室温（℃）：22～28；</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冬季室温（℃）：15～25；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湿度（%）：30～60；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换气次数（次/h）：≥12；</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与室外负压差（Pa)：-20～-30；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噪声dB(A)：≤68；</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照度（lx）：≥500；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实验室排风过滤装置：应通过第三方检测无泄漏。需提供由国家认可的检测机构出具的检测报告。</w:t>
            </w:r>
            <w:r>
              <w:rPr>
                <w:rFonts w:hint="eastAsia" w:asciiTheme="minorEastAsia" w:hAnsiTheme="minorEastAsia" w:eastAsiaTheme="minorEastAsia" w:cstheme="minorEastAsia"/>
                <w:color w:val="auto"/>
                <w:sz w:val="24"/>
                <w:szCs w:val="24"/>
              </w:rPr>
              <w:t>【佐证材料7】</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Style w:val="9"/>
                <w:rFonts w:hint="eastAsia" w:asciiTheme="minorEastAsia" w:hAnsiTheme="minorEastAsia" w:eastAsiaTheme="minorEastAsia" w:cstheme="minorEastAsia"/>
                <w:b/>
                <w:color w:val="auto"/>
                <w:sz w:val="24"/>
                <w:szCs w:val="24"/>
              </w:rPr>
              <w:t>▲B、缓冲间功能参数指标：</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洁净度级别：8级（十万级净化）或优于；</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夏季室温（℃）：22～28；</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冬季室温（℃）：15～25；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湿度（%）：30～60；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换气次数（次/h）：≥10；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与室外负压差（Pa)：+8～+15；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噪声dB(A)：≤68；</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照度（lx）：≥200。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需提供由</w:t>
            </w:r>
            <w:r>
              <w:rPr>
                <w:rFonts w:hint="eastAsia" w:asciiTheme="minorEastAsia" w:hAnsiTheme="minorEastAsia" w:eastAsiaTheme="minorEastAsia" w:cstheme="minorEastAsia"/>
                <w:color w:val="auto"/>
                <w:sz w:val="24"/>
                <w:szCs w:val="24"/>
              </w:rPr>
              <w:t>国家认可的检测机构出具的检测报告。【佐证材料8】</w:t>
            </w:r>
            <w:r>
              <w:rPr>
                <w:rFonts w:hint="eastAsia" w:asciiTheme="minorEastAsia" w:hAnsiTheme="minorEastAsia" w:eastAsiaTheme="minorEastAsia" w:cstheme="minorEastAsia"/>
                <w:color w:val="auto"/>
                <w:sz w:val="24"/>
                <w:szCs w:val="24"/>
              </w:rPr>
              <w:t>。</w:t>
            </w:r>
          </w:p>
        </w:tc>
        <w:tc>
          <w:tcPr>
            <w:tcW w:w="55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空气净化</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空调送风经初效过滤器、中效过滤器、高效过滤器三级过滤。</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核心区的排风处理采用集成式过滤装置，即排风经过生物安全型高效过滤，具备原位过滤器原位扫描检测、消毒和过滤器阻力检测。</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应能够实时显示高效过滤器的阻力，确保实验室中人员实时监控高效过滤器的运行情况。</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过滤器过滤效率在额定工况下不低于99.99% @ 0.3μm ，逐点穿透率≤ 0.01% @0.3μm 。</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安全柜排风在实验间内。</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实验室风道进风空气处理前与排风空气净化后均设生物型电动密闭阀。</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所有风道及附件均为304不锈钢制作。</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气流组织</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核心区送风口布置为右侧侧顶部设风道，均布高效送风口上送风，排风为左后侧设高效排风口下排风，形成有利于工作人员安全的气流组织。</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控制系统</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 计独立的门禁系统、温湿度控系统、送排风压力控制系统、火警系统、舱内视频与对讲系统。</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实验间入口处设实验室运行状态（温度、湿度、压差等）显示装置。</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温度控制</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温度控制采用PLC可编程控制器自动调节，温度的自动调节不可引起各功能间压力波动。空调系统设有低温保护控制。通风空调系统独立控制，独立显示。</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空调系统为全新风结构的中央空调，系统具备除湿功能。</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工作环境温度：-10℃～46℃；</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室内温湿度设 计要求：温度18℃～25℃，精度为±2℃；</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相对湿度：≤60%。 </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空调采用380V/50Hz电源，三相四线电源引入；</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空调具有制冷、制热、通风、加湿功能；</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空调额定制冷量：≥12000W；</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空调的额定制冷消耗功率为：≤5200W；</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空调的除湿消耗功率为：≤8000W；</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空调的再加热功率为：≥1000W；</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空调室内侧循环风量：≥850m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/h；</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空调应能承受频率为5～20～5Hz,加速度为2.5g的震动；</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空调应能承受峰值加速度为15g，持续时间为11ms的半正炫形脉冲波的冲击。</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压力控制</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缓冲间和实验间均采用独立送排风系统，与室外压差形成压力梯度。采用PLC可编程控制器实现各功能间压力自动调节。采用变风量阀（文丘里）稳 定实验间压力扰动。</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送、排风机从自控系统上实现送、排风机连锁，排风先于送风开启，后于送风关闭。</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实验室控制模式</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应包括工作模式、夜间运行模式、紧急模式，其控制应满足实验室作业流程的要求。</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控制系统具备故障报警及处理功能，其控制方式满足实验室作业流程要求。</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电气系统</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整车供电分AC380V交流、DC24V直流和UPS供电三种供电方式。DC24V直流供电车载辅助电瓶直接提供。</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配备UPS电源（车载型）保障关键设备持续运行30分钟。辅助电瓶充电方式可采用外接充电器和正常使用时UPS充电两种方式。</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实验间左侧工作台面上预留4个、右侧工作台上预留6只多功能电源插座，固定设备电源插座位于工作台下相应位置。</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外接交流电源线大于等于30米。</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通信系统</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实验间设视频监控摄像头，实验间视频信号需传输到视频会商车里。</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在驾驶室与缓冲间，缓冲间与实验间均设置通话系统。</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水路系统</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1、实验室左侧台面上设置洗手池，洗手池下设置有污水收集箱，洗手和实验用污水通过水池流入污水箱后，经过原位生物灭活装置处理后排放。洗手池采用非手接触式开关。</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2、类型为全自动无人值守型。</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3、容器类别：1类/压力容器；</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4、设 计压力：≤0.24MPa；</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5、工作压力：≤0.19MPa；</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6、工作温度：</w:t>
            </w:r>
            <w:r>
              <w:rPr>
                <w:rFonts w:hint="eastAsia" w:asciiTheme="minorEastAsia" w:hAnsiTheme="minorEastAsia" w:eastAsiaTheme="minorEastAsia" w:cstheme="minorEastAsia"/>
                <w:color w:val="auto"/>
                <w:sz w:val="24"/>
                <w:szCs w:val="24"/>
                <w:lang w:val="en-US" w:eastAsia="zh-CN"/>
              </w:rPr>
              <w:t>不小于</w:t>
            </w:r>
            <w:r>
              <w:rPr>
                <w:rFonts w:hint="eastAsia" w:asciiTheme="minorEastAsia" w:hAnsiTheme="minorEastAsia" w:eastAsiaTheme="minorEastAsia" w:cstheme="minorEastAsia"/>
                <w:color w:val="auto"/>
                <w:sz w:val="24"/>
                <w:szCs w:val="24"/>
              </w:rPr>
              <w:t>121℃；</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7、控温精度：±0.5℃；</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8、工作水压：0.2～0.4MPa；</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9、水处理量：≥30L；</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10、电源及功率：AC380V/50Hz/150W。</w:t>
            </w:r>
          </w:p>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10、洗手器旁设置手消毒器。</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实验台</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实验间内2侧设置试验台，试验台主体采用不锈钢材质，实验台面采用理化台面。</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传递窗</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1、里外均为304不锈钢制作,内部圆弧角处理,平整光洁。</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2、两侧门带有电子互锁，使两门不能同时打开。</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3、电子互锁配套传递柜箱体两侧装有开门信号指示灯，可知道对面门开启情况。</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4、倒计时系统可以读取延时时间，传递窗未完全关闭时可报警</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5、传递窗上装有专业密封条,确保气密性能。</w:t>
            </w:r>
          </w:p>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6、触摸控制，配有紫外线杀菌,同时可根据洁净区域不同配有自净装置。</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生物安全柜</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1、气流模式:30%外排，70%循环。</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2、内部尺寸(W×D×H):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1200x630x780（mm），柜体进深不小于610mm，前窗开口25cm。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3、外部尺寸(W×D×H):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1300x802x1520（mm）, 宽度应不大于1300mm。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、HEPA送风/排风过滤膜:EN1822 H14 HEPA滤膜，99.995% 对最易穿透性颗粒（MPPS），99.999%对0.3微米颗粒。</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5、工作台面材料:不锈钢一体成型可承受重量不小于50kg。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6、噪音:≤ 67dB。</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7、风机：直流无碳刷电机驱动风机，双风机主动独立控制进气/排气风机。</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8、独立的进气与排气风机自动控制，平衡下降气流与外排气流，以保证持续安全的工作条件。智能直流无碳刷电机可实时监测和控制风机转速，在过滤器阻塞或线路电压波动时持续保护用户安全。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9、双探头测定风速，准确全面地反应安全柜进气和排气风速。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10、低速安全节能模式：前窗完全关闭后，风机可继续工作，紫外灭菌位置，下降风速自动变为30%，方便随时使用，并节约能源。</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11、风速报警：两个独立式压力传感器用于检测排气和下降气流强制通风时的压力变化。当进气/ 排气或下降气流速度变化量达到20% 时，报警器将发出信号提醒用户。</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12、前窗清洁：可以简单的将前窗下降从而彻底清洁柜体内表面，降低污染风险。</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13、10度倾角前窗：10度倾角斜面设 计的玻璃悬窗符合人体工程学，防止眩光产生，影响操作。</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14、侧壁采用真空设 计：侧壁采用真空设 计，无开孔。即使侧壁由于碰撞发生破裂，也不会造成外泄和污染</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红黄绿灯显示安全柜总体运行状态：绿灯正常使用，黄灯需要注意，红灯需要等待，长时间红灯需要维护。控制面板信息:时间显示，风速显示(下降风速,进风风速)，总工作时间显示，定时器，UV灯工作时间，实时显示整个柜体的状态（包括运行是否安全，是否需要检修）灯管可定时操作（0-24小时定时控制）</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16、排风/进风量 (立 方米/小时)≥540，通风量，套管连接(立 方米/小时)≥702</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17、生物安全柜的功耗，运行时</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275W，节能模式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40W</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 自动报警：可对不正常气流报警及玻璃门位置报警</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19、前窗玻璃材料：采用双层贴膜高强度安全防紫外线防爆玻璃，即使发生破裂，玻璃碎片将吸附在贴膜上不会发生飞溅，防止人身伤害</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前窗位置的监测及安全锁定：位置传感器监测前窗的位置，指示前窗是否开到特定的工作位置；在节能状态时关闭；或一个不安全的中间位置。在紫外灭菌过程中，前窗安全锁启动，防止有害的紫外辐射从样品室中泄露。</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二氧化碳培养箱</w:t>
            </w:r>
          </w:p>
        </w:tc>
        <w:tc>
          <w:tcPr>
            <w:tcW w:w="5292"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具有DHA（直接加热气套式）系统配合三个独立控制的加热单元，确保高精度高稳 定的温度环境，紧凑型设 计，适合每人一箱，占地面积小，可三层叠放，方便维护</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可在控制面板上进行自动校准，实现二氧化碳浓度的精确控制</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铜合金不锈钢内胆，可实现高效抗菌的效果    外部尺寸(W×D×H)：</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480 x 548 x 575（mm） </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内部尺寸(W×D×H)：</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350 x 378 x 375（mm）有效容积：</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49L</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净重：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49kg</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耗电量(220V,50Hz)：</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205W</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外部材料：彩色涂层钢板</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内部材料：铜合金不锈钢</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外门：彩色涂层钢板，双开门对应</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内门：强化玻璃</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搁板：铜合金不锈钢，标准3张 (最多6张) ；尺寸: 长310x宽310x高10 mm ；承重量: 4kg/张多段可调节式</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隔热层：硬质聚亚胺酯原位整体发泡</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加热方式：DHA方式 (直接加热气套式)</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箱内循环方式：微风搅拌方式</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温度调节方式：PID控制方式</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温度控制范围：+5℃～50℃ (环境温度:5℃～35℃)</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温度均匀性：±0.25℃(环境温度25℃，设定37℃，二氧化碳5%，无负载)</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温度波动幅度：±0.1℃(环境温度25℃，设定37℃，二氧化碳5%，无负载)</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二氧化碳控制方式：开关控制方式 (TC传感器)</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二氧化碳浓度控制范围：0～20%</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二氧化碳浓度波动幅度：±0.15℃ (环境温度25℃，设定37℃，二氧化碳5%，无负载)</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二氧化碳接口：内径4～6mm</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加湿方式：加湿托盘自然蒸发方式</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箱内湿度：95±5%R.H.</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水位感应器：光学反射检测法</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检测孔：1个，直径30mm (背部)</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过滤器：0.3μm，有效率: 99.97% (二氧化碳用)</w:t>
            </w:r>
          </w:p>
          <w:p>
            <w:pPr>
              <w:pStyle w:val="6"/>
              <w:keepNext w:val="0"/>
              <w:keepLines w:val="0"/>
              <w:widowControl/>
              <w:suppressLineNumbers w:val="0"/>
              <w:spacing w:before="0" w:beforeAutospacing="0" w:after="150" w:afterAutospacing="0"/>
              <w:ind w:left="240" w:right="0"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报警功能：高/低温报警，二氧化碳浓度波动，门未关报警，低水位，独立过热保护。</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冰箱</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微电脑控制，冷藏、冷冻温度双显示。</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冷藏温度：2℃～8℃，冷冻温度：-10℃～-26℃可调。</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有效容积：</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208 L，冷藏：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150L，冷冻</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60L；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冷藏室、冷冻室均可单独关闭。</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冷藏室风冷设 计。</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多种故障报警：高低温报警、传感器故障报警、开门报警（冷藏室）。</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两种报警方式：声音蜂鸣报警、数码闪烁报警。</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开机延时、停机间隔等保护功能。</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制冷系统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优化制冷技术，制冷能力更强。</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无氟发泡、无氟制冷剂，绿色环保。</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低温冰箱</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箱体类型：立式；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有效容积（L）：≥92；</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箱内温度（℃）：-10 ～ -25℃；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内部尺寸（mm）：宽×深×高：≥435×410×635；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外部尺寸（mm）：宽×深×高：≤597×610×860；</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高压灭菌器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高亮度大触摸屏式操作控制面设置在盖子的前侧。</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设有三重压力盖开启保护锁。</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搭载定时开始和预热功能</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灭菌器内腔采用≥3mm厚不锈钢制作，表面进行镜面抛光、防腐处理</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温度显示、控制精度：0.1℃；使用温度范围：45℃至135℃：45-80℃（预热温度）45-60℃（保温工程）65-100℃（溶解工程）105-135℃（灭菌工程）80-150℃（干燥工程）</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最高使用压力：0.26MPa，压力表和压力安全阀都可拆卸。</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手动上下翻盖开启式（附有安全锁定机构）</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排气阀：全开放用和慢开放用各一个</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其他配置用接口：样品传感器用（1/4），记录仪用（1/4），压力表用（电磁阀配管分支）</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冷却风扇：轴流风扇马达</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控制器：7英寸大触摸屏，中、英、日三种语言可选</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定时功能（任意模式）：1分至999小时，分解能力：1分</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运行模式：器具灭菌模式，液体灭菌模式，灭菌保温模式，溶解保温模式，干燥模式，灭菌干燥模式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附加功能：消耗电力、累积消耗电力、CO2排出量、累积通电时间、累积运转时间、累积运转次数</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其他功能：键盘锁定功能、预约功能、记忆功能、预热功能、强制冷却功能、图形锁定功能、故障发生履历查阅（20件）、时间累计、时间显示、操作音ON/OFF设定功能</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装置：自诊断功能、传感器异常、SSR短路、加热器断线、空烧防止、排水箱未设置警告、压力盖锁定异常、内存异常、专门蒸汽接收杯、过电流漏电保护开关、异常时自动中止运行并进行蜂鸣警报和故障显示、具备防止过温功能、设置安全阀</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外形尺寸（长×宽×高）：≤550×700×850(mm)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罐内有效尺寸：内径≥350×450(mm)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罐体有效容积：≥50L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本体重量：≤100kg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电源电压：AC200—240V</w:t>
            </w:r>
          </w:p>
          <w:p>
            <w:pPr>
              <w:pStyle w:val="6"/>
              <w:keepNext w:val="0"/>
              <w:keepLines w:val="0"/>
              <w:widowControl/>
              <w:suppressLineNumbers w:val="0"/>
              <w:spacing w:before="0" w:beforeAutospacing="0" w:after="150" w:afterAutospacing="0"/>
              <w:ind w:left="0" w:right="0" w:firstLine="48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附属品：灭菌框2个，蒸汽接收杯1个，排水箱1个，排水管1根，抱箍1个，灭菌效果测试卡30片</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过氧化氢消毒器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非压缩空气雾化和超声雾化原理。使用超高速风机结合特殊设 计的雾化系统将过氧化氢等消毒剂雾化成亚微米的颗粒，均布于整个房间进行彻底的灭菌。</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▲高效杀灭空气和物体表面的各种微生物，对ATCC 9372的指示菌芽孢能够达到 6log10 的杀灭效率。需提供由国家认可的检测机构出具的检测报告复印件【佐证材料9】</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90%以上的液滴直径小于1微米。需提供由国家认可的检测机构出具的检测报告复印件</w:t>
            </w:r>
            <w:r>
              <w:rPr>
                <w:rFonts w:hint="eastAsia" w:asciiTheme="minorEastAsia" w:hAnsiTheme="minorEastAsia" w:eastAsiaTheme="minorEastAsia" w:cstheme="minorEastAsia"/>
                <w:color w:val="auto"/>
                <w:sz w:val="24"/>
                <w:szCs w:val="24"/>
              </w:rPr>
              <w:t>【佐证材料10】</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使用过氧化氢浓度≤8%，且酸度≥pH4.0，材料兼容性好。</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能够兼容各种杀菌原理的消毒剂，不限定消毒剂的种类。</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消毒液罐容量：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2.5L。</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移动荧光PCR仪</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仪器机械设 计：必须为一体化设 计，而非组合拼接式结构</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通道数： 6色激发光通道和6色检测光通道同时检测6种不同荧光，达到21种不同检测和激发通道组合(本条在官方彩页中必须有体现）【佐证材料11】</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精确数码控温模块： 具备6个以上独立控温模块，每个模块可独立精确设定反应温度，模块之间温度可高低交错设定。</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温控模块最高升温速率：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6.5°C/秒</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精密度：最低可分辨1.5倍拷贝数差异， 置信度99.7%</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运行时间：小于30分钟完成96孔板40个循环反应</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温控范围：4°C–100°C</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光学系统：高亮度白光LED、6色激发滤光片，6色检测滤光片、CCD同步收集荧光信号，确保检测灵敏度和分别率</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支持的荧光染料：FAM, SYBR, SYTO</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9 (MeltDoctor), Fluorescein, SYPRO Orange，VIC, JOE, TET, HEX，TAMRA, NED, BODIPY TMR-X，Texas Red，LIZ, Cy5</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被动染料校正功能：软件必须支持Rox荧光校正去除移液误差和孔间光学效应差</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数据同时采集：所有反应孔同时采集荧光数据，不同孔之间不存在时间差</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内置触摸屏电脑： 自带存储100次以上的实验数据；仪器触摸屏提供一键式的实验方案，可快速地设置多种应用。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云服务平台：可在全球任意有网络的地方登陆云服务平台获取仪器传送的实验数据</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软件支持应用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基于标准曲线的绝对定量 Standard curve (absolute quantitation)</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相对标准曲线 Relative standard curve</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基于比较Ct值的相对定量 Comparative Ct (relative quantitation)</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免费内置基因表达 (RQ) 相对定量分析功能，可同时分析100块板的实验数据，并用热点图和散点图提供数据质量的快速检查。</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实时监控基因分型聚类分析：在基因分型实验中，能利用实时荧光定量PCR进程监控器优化基因分型运行程序设这，以确定聚类分析的理想循环。</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融解曲线分析 Melt curve analysis (as a standalone application)</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存在/不存在 Presence/Absence (Plus/minus)</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基于或非基于实时扩增的基因分型 Genotyping (with or without real-time amplification)</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基于荧光定量PCR的蛋白表达分析功能</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基于荧光定量PCR的Non-coding RNA和microRNA分析基于荧光定量PCR的基因拷贝数（CNV）分析</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基于荧光定量PCR的肿瘤稀有突变分析，可检测占背景野生型细胞0.1%的微量突变细胞或DNA</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配置：</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高通量荧光定量PCR仪一台</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原厂预装操作软件电脑工作站一套</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96孔反应模块一套</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核酸全自动提取仪</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精美的外型，全景式设 计，可随时观察操作界面及提取仓状态。</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独特的抽屉式取样设 计，可自由拿放耗材。</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人性化触屏操作：便捷的触控式操作，大屏幕彩色显示。</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提取模式：震荡混匀、支持双孔裂解独立控温。</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快速提取：操作时间短，17-60分钟/次，一次可同时提取32份样本。</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精准的温度控制，独特的双排独立裂解温控模块，温度控制范围为30℃-90℃。</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高精度、高得率的复孔提取方式，最大处理样本体积为600μl。</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高灵敏度的提取方法，磁珠回收率大于95%。</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配置防污染系统，控制孔间污染及批次间污染，杜绝交叉污染，孔间CT值不超过3%。</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全封闭式设 计，内置UV灭菌装置，确保生物安全。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多数据输出设 计，主要数据接口有RS232、RJ45和USB。</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适用范围：临床检测、常规科研、基因组学、疾控系统、食品安全、法医等领域。</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实时恒温荧光检测仪</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实时恒温荧光检测仪采用重组酶聚合酶扩增技术（RPA）被称为可以替代PCR的核酸检测技术，不需要变性（95℃）、退火（55℃）和延伸（72℃）步骤，可以在恒定的温度下对模板DNA 进行大量扩增。因此相较于PCR 技术，大大提高检测速度，不依赖于昂贵的热循环仪器，可实现现场快速检测。另外，不需要复杂的样品处理，灵敏度高且特异性强。</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可同时检测不少于8个样品</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小巧便携，可充电，电池续航长达6小时</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全彩色触摸屏，易于使用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具有不少于三个荧光通道，反应温度范围宽</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通用，适用于大部分温扩增试剂盒</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可兼容标准PCR管。</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暗视野显微镜</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45mm物镜齐焦距离；</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不用化学药品的绿色环保防霉技术。</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主机: 符合人机工程学原理的高性能主机，ICS光路设 计，配备精确定位的四位物镜转换器，国际标准的W 0.8接口。</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三目观察筒: 使用极为舒适的30°观察筒，视场直径20mm. 铰链式观察筒，可上下翻转，高眼点；瞳距48-75mm，50:50分光，也可360度旋转，方便教师指导学生。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载物台: 陶瓷覆涂机械载物台，载物台面积140x135, 75mm×30mm；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调焦机构: 谐波齿轮精细同轴粗微调焦机构，内置免调节防下滑机构，不使用易损坏的外调节松紧调节环。</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照明系统: 双光源配置，直流30W长寿命卤素灯泡，亮度可调节； LED长寿命冷光源，并可随意更换光源。</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聚光镜: 高性能的Abbe聚光镜0.9/1.25，具有明视野，暗视野观察方式，可升级荧光。</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目镜: 10倍目镜，视场数20；双眼屈光度可调；带目镜罩2只。</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镜架两侧蓝色的发光强度显示 ，使用者从远处就可迅速检查发光强度。</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平场消色差物镜4x/0.1  6.5mm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平场消色差物镜10x /0.25  4.39mm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平场消色差物镜40x/0.65   0.48mm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平场消色差又镜100x /1.25（油镜）  0.13mm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滤光片: 蓝色,黄色,绿色滤光片各一个</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0.5x C接口</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显微成像系统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像素：≥500万像素</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测光方式：自动，手动两种方式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图像采集速度：≥13幅/秒，在800×600像素</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图像传输接口：HDMI to DVI</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芯片规格：5.7×4.28mm CMOS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白平衡：自动，手动，点触式等多种方式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存储卡：可使用SD卡，直接插卡存储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像素大小：2.2um×2.2um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光学接口：标准C型接口12.10曝光时间范围：2us-2s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采样深度：3×8位</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摄像头自带拍摄、白平衡按钮，可脱离计算机工作</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显微图像分析软件可以控制CCD</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图像优化处理：色彩管理，自动曝光，亮度、对比度调节等</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图像管理：图像目录管理，文档管理，文件夹预览</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图像分析：标注，添加比例尺等几何测量，具有图片叠加，手动图片拼接、景深拓展等功能。</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低温离心机</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离心管1.5/2.0 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最大容量：36×1.5/2.0 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最大相对离心力（rcf）: 20,627× 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最高转速（rpm）: 15,000 rpm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分离样品范围：0.2ml—2.0ml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温控范围：-10°C 至40°C</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环境温度运行范围：5℃-35℃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程序储存：10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离心计时：10秒至99分钟59秒、连续离心、点动瞬时离心</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快速锁定转子盖，可快速打开或锁紧转子</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噪音: &lt; 54 dB(A)，确保静音操作</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快速制冷功能。</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酶标仪</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光源：石英卤素灯</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波长范围：340 －850 nm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滤光片： 8位滤光片轮，配备3块滤光片：405 nm, 450 nm和620 nm，其他滤光片可选；</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滤光片半带宽： 3 - 9 nm；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读数范围： 0 - 6 Abs；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线性范围：（405nm）0 - 3 Abs，±2%，96孔板，快速测量模式。0 - 4 Abs，±2%，96孔板，普通测量模式；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分辨率： 0.001 Abs；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准确性：（405nm）±1% (0 - 3 Abs), ±2% (3 - 4 Abs)；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精确性：（405nm）CV ≤0.2% (0 - 3 Abs), CV ≤1.0% (3 - 4 Abs)，普通测量模式；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测量速度： 6 s，96 孔板，快速测量模式；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 s，96 孔板，普通测量模式；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 s，384 孔板，快速测量模式；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s，384 孔板，普通测量模式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振荡器：线性振荡，三档速度可选</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机械臂兼容：可以</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按键和显示：高分辨彩色显示屏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用户界面：内置软件或SkanIt 软件（通过电脑控制）</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内存：仪器内可存储100个测量程序和100组测量结果（96 孔板）；</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通讯接口： USB 用于计算机连接；</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USB 外接U盘用于结果的输出和保存；</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USB 外接打印机接口。</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电源： 100 - 240 V(50/60 Hz)；</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功率：最大100 W，待机8 W。</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洗板机</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洗液、废液通道：各1个；</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瓶容量：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2L洗液瓶、</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2L废液瓶；</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非压力式洗瓶废液瓶，可开盖操作，配液位报警器；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洗头：同轴套管式8道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清洗板型：96孔板，U型底、V型底、C型底、星型底；</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分液、吸液高度及吸液速度可调；</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清洗体积：50-1000μl；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预洗体积：5-100ml；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冲洗体积：5-100ml；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加液量：50-400 μl；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残液量：≤1.5 μl；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吸液模式：正常、两点清扫、三点清扫；</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具有溢流清洗功能；</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振荡器：三档速度可调；</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数据接口：USB接口，可存储及更新程序软件；</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程序内存：可存储不少于90个程序；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按键显示：高分辨彩色液晶显示，图形化界面，支持中文在内的多国语言。</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恒温水浴箱</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工作环境温度： 10-35℃；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工作环境湿度： 20- 80%；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电源:  220VAC ± 10% ，50 Hz±1。</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温度范围 : 室温以上10°C 至95°C（或更宽范围）及沸腾模式；</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温度精度 : ± 0.1°C；</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温度均一性 : ± 0.1°C；</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温度稳 定性 : ± 0.1°C；</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浴槽体积: 3~7L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内壁材质采用304以上不锈钢，无缝隙；</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温度控制：PID；</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加热方式：水槽多面（三面以上）；</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显示方式：温度、转速和时间LED显示；</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具有时间设定功能，精确度≤1min；</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具有防干烧及过温保护等功能。</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移液器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采用高科技材质，重量轻，坚固耐用，耐高温抗腐蚀；</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可整支高温高压灭菌和紫外线灭菌，操作更安全；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卓越的人体工程学设 计，显著减少手、手臂和肩膀用力，避免手部重复性劳损（RSI）；</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伸缩式弹性吸嘴设 计，确保吸头装配的气密性和移液均一性；</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四位数字放大体积显示，位置合理，便于移液时观察；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密度调节窗口，适用于不同密度的液体，通用性更广泛；</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规格：0.1-2.5μl；0.5-10μl；2-20μl；20-200μl；100-1000μl。</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移液器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采用高科技材质，重量轻，坚固耐用，耐高温抗腐蚀；</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可整支高温高压灭菌和紫外线灭菌，操作更安全；</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卓越的人体工程学设 计，显著减少手、手臂和肩膀用力，避免手部重复性劳损（RSI）；</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伸缩式弹性吸嘴设 计，确保吸头装配的气密性和移液均一性；</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四位数字放大体积显示，位置合理，便于移液时观察；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具有密度调节窗口，适用于不同密度的液体，通用性更广泛；</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30-300 μl八通道。</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56℃温箱</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电压：220V；</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控温范围：5～65℃；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温度分辨率：0.1℃；</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温度波动度：±0.5℃；</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消耗功率：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150w；</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容积：</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20L；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外形尺寸（mm）：</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370×250×535。</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振荡混匀器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温度设置范围： 0℃~100℃；</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控温范围：室温+5℃~100℃ ；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时间设置：1min ~ 99h59min/∞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控温精度：≤±0.3℃；</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显示精度：0.1℃ ；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温度均匀性：≤±0.3℃；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转速范围：200~1800Rpm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水平振幅：3mm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升温时间：≤12分钟 （25℃升温到100℃）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输入功率：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150W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压： AC220V/50-60HZ；</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外形尺寸(mm)： 260x195x150 mm ；</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    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7.0Kg。</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Mini离心机</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容量（标准转子）： 8*1.5/2.0/0.5/0.2ml；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容量（8联排转子）： 4*8 *0.2ml；</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重    量：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0.9Kg；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    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6000转/分；</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相对离心力(RCF)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2000g；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    率：≤50W；</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160×150×125（mm）；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源： AC100-240V，50/60Hz。</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移动紫外线车</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电压：220（V）；</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紫外线灯管功率：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30W*2；</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辐射紫外线波长：253.7nm。</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涡轮混合器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    速： 500~2500rpm；</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振    幅： 4mm水平回转；</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时间设置： 1min ~ 99h59min；</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载重：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4.5kg；</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输入功率：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70W；</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外形尺寸：</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410x276x432mm（长宽高）；</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    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20kg。</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UPS</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额定容量：≥3（KVA）；</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输出电压范围：≥220（V）；</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输入电压范围：≥220（V）；</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备用时间：≥30分钟；</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转换时间：0（毫秒(ms)）</w:t>
            </w:r>
          </w:p>
          <w:p>
            <w:pPr>
              <w:pStyle w:val="6"/>
              <w:keepNext w:val="0"/>
              <w:keepLines w:val="0"/>
              <w:widowControl/>
              <w:suppressLineNumbers w:val="0"/>
              <w:spacing w:before="0" w:beforeAutospacing="0" w:after="15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重量：≤34.5（kg）</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紫外线灯</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额定功率：18W；电压：220V；</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灭火器</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干粉灭火器和水基型灭火器。</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LED灯带</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防水型；</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输入电压：220（V）；</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光通量：≥12000（lm）。</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高压充气帐篷</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整体投影尺寸：约6.0×6.0×3.0m；</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外披：白色 PVC；</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地布：灰色PVC；</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内衬：白色舒美绸；</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正门：1扇，1.5×2.0m；</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窗户：6扇，695×615mm（透明膜热合工艺）；</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功能口：共4个，直径350mm；</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关于标识：顶篷上中国卫生“红十字+中英文”竖版 共2套，窗户下中国卫生“红十字+中英文”横版共2套，正门上制作连接片1片（PVC配件式）；</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高压气柱材料：具有良好的防穿刺能力每根气肋具有独立气室，具有良好的气密性,高压气柱压力不小于0.5MPa，采取无焊缝一体化加工；</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主体气室可通过一台空压机充气成型；</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帐篷外篷布材料为PVC双面涂层夹网布，克重≥750g/㎡，阻燃等级：M2(阻燃标准)，具备抗紫外线辐射能力，外篷主体结构使用高频热合热封工艺制作。内衬材料为涂银布，颜色为银灰色。</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帐篷地布PVC双面涂层夹网布，克重≥420g/㎡，颜色为灰色。</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充气时间：充气时间8-10min；</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抗风性：可抗10级大风(24.5～28.4m/s)；</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抗雪能力：30kg/㎡；</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抗雨能力：可承受395㎜/24小时不间断暴雨；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使用环境：可在恶劣气象条件下使用；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寿命：耐用性好/寿命大于10年；</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工作温度：-25℃—+46℃，储存温度：-30℃—+65℃；</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补气周期不小于60天。</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▲提供同类帐篷的工作温度、储存温度、风载、雪载、雨载、充气时间、高压管压力值的，需提供由国家认可的检测机构出具的检测报告【佐证材料11】</w:t>
            </w:r>
            <w:r>
              <w:rPr>
                <w:rFonts w:hint="eastAsia" w:asciiTheme="minorEastAsia" w:hAnsiTheme="minorEastAsia" w:eastAsiaTheme="minorEastAsia" w:cstheme="minorEastAsia"/>
                <w:color w:val="auto"/>
                <w:sz w:val="24"/>
                <w:szCs w:val="24"/>
              </w:rPr>
              <w:t>。</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46.</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帐篷空调</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1）电源制式： 380V/50Hz（三相四线制）；</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2.循环风量额定需求：＞100m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/h；</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3）额定制冷量：≥50KW；</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4）额定制冷消耗功率：≤3KW；</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5）额定制热量：≥2KW；</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6）外机噪音：≤70dB。</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47.</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帐篷配电</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防水LED 灯，20W 高亮度防水LED 灯配线缆和快速接头，3个为一组，可供一顶帐篷照明使用。</w:t>
            </w:r>
          </w:p>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帐篷内供电采用一体式防水护线套，快接防水设 计220V 16A。应满足帐篷内用电接口需求。</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48.</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设备包装</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精密仪器设备装箱后，箱组能有效的对医疗设备进行减振处理，及运输保证。</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49.</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运输</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运送至用户指 定地点，包含运送过程中的保险。</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安装调试</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车辆上装设备需做减震装置，大型设备采用安全可靠的固定装置，小型精密设备采用减震箱固定，并做好固定。</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培训、验收</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firstLine="495"/>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生产厂家整体负责培训，次数≥1次，确保用户熟练掌握。</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5" w:hRule="atLeast"/>
        </w:trPr>
        <w:tc>
          <w:tcPr>
            <w:tcW w:w="73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right="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w:t>
            </w:r>
          </w:p>
        </w:tc>
        <w:tc>
          <w:tcPr>
            <w:tcW w:w="1934"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第三方检测</w:t>
            </w:r>
          </w:p>
        </w:tc>
        <w:tc>
          <w:tcPr>
            <w:tcW w:w="5292"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★移动实验室交付前需通过国家认可的生物安全实验室检测机构进行首检。【需提供承诺书】</w:t>
            </w:r>
          </w:p>
        </w:tc>
        <w:tc>
          <w:tcPr>
            <w:tcW w:w="55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bl>
    <w:p>
      <w:pPr>
        <w:pStyle w:val="6"/>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配置参数</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47"/>
        <w:gridCol w:w="4853"/>
        <w:gridCol w:w="83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4853" w:type="dxa"/>
            <w:tcBorders>
              <w:tl2br w:val="nil"/>
              <w:tr2bl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240" w:beforeAutospacing="0" w:after="60" w:afterAutospacing="0"/>
              <w:ind w:left="0" w:right="0"/>
              <w:jc w:val="center"/>
              <w:rPr>
                <w:rFonts w:hint="eastAsia" w:asciiTheme="minorEastAsia" w:hAnsiTheme="minorEastAsia" w:eastAsiaTheme="minorEastAsia" w:cstheme="minorEastAsia"/>
                <w:color w:val="auto"/>
                <w:sz w:val="24"/>
                <w:szCs w:val="24"/>
              </w:rPr>
            </w:pPr>
            <w:r>
              <w:rPr>
                <w:rStyle w:val="9"/>
                <w:rFonts w:hint="eastAsia" w:asciiTheme="minorEastAsia" w:hAnsiTheme="minorEastAsia" w:eastAsiaTheme="minorEastAsia" w:cstheme="minorEastAsia"/>
                <w:b/>
                <w:color w:val="auto"/>
                <w:sz w:val="24"/>
                <w:szCs w:val="24"/>
              </w:rPr>
              <w:t>移动微生物实验室车辆配套设施及实验设备</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实验室厢体</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实验室涂覆及标识</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配电照明系统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送风净化空调系统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排风净化系统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监控系统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水路系统</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自灭火洗手装置</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净水箱  污水箱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生物安全柜</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二氧化碳培养箱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冰箱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低温冷冻冰箱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传递窗</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实验边台、座椅</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手喷雾消毒装置</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高压灭菌器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过氧化氢消毒器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紫外线灯</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水基型灭火器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二氧化碳灭火器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接地桩及接地线</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高压充气帐篷</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帐篷空调</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帐篷配电</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移动荧光PCR仪</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核酸全自动提取仪</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暗视野显微镜</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低温离心机</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酶标仪</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洗板机</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恒温水浴箱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天平</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实时恒温荧光检测仪</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移液器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56℃温箱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振荡混匀器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Mini离心机</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移动紫外线车</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涡轮混合器</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64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42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w:t>
            </w:r>
          </w:p>
        </w:tc>
        <w:tc>
          <w:tcPr>
            <w:tcW w:w="4853"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设备包装箱</w:t>
            </w:r>
          </w:p>
        </w:tc>
        <w:tc>
          <w:tcPr>
            <w:tcW w:w="839"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177" w:type="dxa"/>
            <w:tcBorders>
              <w:tl2br w:val="nil"/>
              <w:tr2bl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bl>
    <w:p>
      <w:pPr>
        <w:pStyle w:val="6"/>
        <w:keepNext w:val="0"/>
        <w:keepLines w:val="0"/>
        <w:widowControl/>
        <w:suppressLineNumbers w:val="0"/>
        <w:spacing w:before="75" w:beforeAutospacing="0" w:after="75" w:afterAutospacing="0"/>
        <w:ind w:left="0" w:right="0" w:firstLine="0"/>
        <w:rPr>
          <w:rFonts w:hint="eastAsia" w:ascii="宋体" w:hAnsi="宋体" w:eastAsia="宋体" w:cs="宋体"/>
          <w:b/>
          <w:bCs/>
          <w:color w:val="auto"/>
          <w:spacing w:val="0"/>
          <w:sz w:val="24"/>
          <w:szCs w:val="24"/>
          <w:u w:val="single"/>
          <w:lang w:val="en-US" w:eastAsia="zh-CN"/>
        </w:rPr>
      </w:pPr>
      <w:r>
        <w:rPr>
          <w:rFonts w:hint="eastAsia" w:ascii="宋体" w:hAnsi="宋体" w:eastAsia="宋体" w:cs="宋体"/>
          <w:b/>
          <w:bCs/>
          <w:color w:val="auto"/>
          <w:spacing w:val="0"/>
          <w:sz w:val="24"/>
          <w:szCs w:val="24"/>
          <w:u w:val="single"/>
          <w:lang w:val="en-US" w:eastAsia="zh-CN"/>
        </w:rPr>
        <w:t>注:</w:t>
      </w:r>
      <w:r>
        <w:rPr>
          <w:rFonts w:hint="default" w:ascii="宋体" w:hAnsi="宋体" w:eastAsia="宋体" w:cs="宋体"/>
          <w:b/>
          <w:bCs/>
          <w:color w:val="auto"/>
          <w:spacing w:val="0"/>
          <w:sz w:val="24"/>
          <w:szCs w:val="24"/>
          <w:u w:val="single"/>
          <w:lang w:val="en-US" w:eastAsia="zh-CN"/>
        </w:rPr>
        <w:t>技术参数中所涉及</w:t>
      </w:r>
      <w:r>
        <w:rPr>
          <w:rFonts w:hint="eastAsia" w:ascii="宋体" w:hAnsi="宋体" w:eastAsia="宋体" w:cs="宋体"/>
          <w:b/>
          <w:bCs/>
          <w:color w:val="auto"/>
          <w:spacing w:val="0"/>
          <w:sz w:val="24"/>
          <w:szCs w:val="24"/>
          <w:u w:val="single"/>
          <w:lang w:val="en-US" w:eastAsia="zh-CN"/>
        </w:rPr>
        <w:t>的规格尺寸未规定偏离的，允许偏离±3%。</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9"/>
          <w:rFonts w:hint="eastAsia" w:ascii="宋体" w:hAnsi="宋体" w:eastAsia="宋体" w:cs="宋体"/>
          <w:b/>
          <w:color w:val="auto"/>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包：1</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1、交付地点：福建省福州市鼓楼区东街134号</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2、交付时间：合同签订后 (30) 天内交货</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3、交付条件：按合同要求执行</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4、是否收取履约保证金：否</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5、是否邀请投标人参与验收：否</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6、验收方式数据表格</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货物接收、安装完成后，正常使用一个月方可验收</w:t>
            </w:r>
          </w:p>
        </w:tc>
      </w:tr>
    </w:tbl>
    <w:p>
      <w:pPr>
        <w:keepNext w:val="0"/>
        <w:keepLines w:val="0"/>
        <w:widowControl/>
        <w:suppressLineNumbers w:val="0"/>
        <w:jc w:val="left"/>
        <w:rPr>
          <w:color w:val="auto"/>
        </w:rPr>
      </w:pPr>
      <w:r>
        <w:rPr>
          <w:rStyle w:val="9"/>
          <w:rFonts w:ascii="宋体" w:hAnsi="宋体" w:eastAsia="宋体" w:cs="宋体"/>
          <w:b/>
          <w:color w:val="auto"/>
          <w:kern w:val="0"/>
          <w:sz w:val="24"/>
          <w:szCs w:val="24"/>
          <w:lang w:val="en-US" w:eastAsia="zh-CN" w:bidi="ar"/>
        </w:rPr>
        <w:t>7、支付方式数据表格</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5"/>
        <w:gridCol w:w="4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验收完成后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验收完成一年后</w:t>
            </w:r>
          </w:p>
        </w:tc>
      </w:tr>
    </w:tbl>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8、安装与调试</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（1）安装与验收</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1.1安装</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1.1.2 中标人负责组织专业技术人员进行货物安装调试，采购人应提供必须的基本条件和专人配合，保证各项安装工作顺利进行。</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1.1.3 中标人应在合同签订时，向采购人提供安装及试运行的进度计划表。</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1.1.4 设备到达最终采购人现场后，中标人的工程师到采购人的现场安装设备，同时应向采购人介绍设备功能及特殊分析并进行现场演示。</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1.1.5设备进场后须在接到采购人安装通知后在采购人规定的时间内安装调试完毕并交付使用。</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1.1.6中标人提供的配置应符合临床应用要求。</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  验收</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1.2.1验收标准</w:t>
      </w:r>
    </w:p>
    <w:p>
      <w:pPr>
        <w:pStyle w:val="6"/>
        <w:keepNext w:val="0"/>
        <w:keepLines w:val="0"/>
        <w:widowControl/>
        <w:suppressLineNumbers w:val="0"/>
        <w:spacing w:before="0" w:beforeAutospacing="0" w:after="150" w:afterAutospacing="0" w:line="435" w:lineRule="atLeast"/>
        <w:ind w:left="0" w:right="0" w:firstLine="420"/>
        <w:rPr>
          <w:color w:val="auto"/>
        </w:rPr>
      </w:pPr>
      <w:r>
        <w:rPr>
          <w:rFonts w:hint="eastAsia" w:ascii="宋体" w:hAnsi="宋体" w:eastAsia="宋体" w:cs="宋体"/>
          <w:color w:val="auto"/>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1.2.2验收程序和方法</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1.2.2.1出厂检验</w:t>
      </w:r>
    </w:p>
    <w:p>
      <w:pPr>
        <w:pStyle w:val="6"/>
        <w:keepNext w:val="0"/>
        <w:keepLines w:val="0"/>
        <w:widowControl/>
        <w:suppressLineNumbers w:val="0"/>
        <w:spacing w:before="0" w:beforeAutospacing="0" w:after="150" w:afterAutospacing="0" w:line="435" w:lineRule="atLeast"/>
        <w:ind w:left="0" w:right="0" w:firstLine="420"/>
        <w:rPr>
          <w:color w:val="auto"/>
        </w:rPr>
      </w:pPr>
      <w:r>
        <w:rPr>
          <w:rFonts w:hint="eastAsia" w:ascii="宋体" w:hAnsi="宋体" w:eastAsia="宋体" w:cs="宋体"/>
          <w:color w:val="auto"/>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1.2.2.2初验收：</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由中标人和采购人共同对设备的数量、质量、外包装等根据本章节的有关规定逐项检验。</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1.2.2.3试运行：</w:t>
      </w:r>
    </w:p>
    <w:p>
      <w:pPr>
        <w:pStyle w:val="6"/>
        <w:keepNext w:val="0"/>
        <w:keepLines w:val="0"/>
        <w:widowControl/>
        <w:suppressLineNumbers w:val="0"/>
        <w:spacing w:before="0" w:beforeAutospacing="0" w:after="150" w:afterAutospacing="0" w:line="435" w:lineRule="atLeast"/>
        <w:ind w:left="0" w:right="0" w:firstLine="420"/>
        <w:rPr>
          <w:color w:val="auto"/>
        </w:rPr>
      </w:pPr>
      <w:r>
        <w:rPr>
          <w:rFonts w:hint="eastAsia" w:ascii="宋体" w:hAnsi="宋体" w:eastAsia="宋体" w:cs="宋体"/>
          <w:color w:val="auto"/>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6"/>
        <w:keepNext w:val="0"/>
        <w:keepLines w:val="0"/>
        <w:widowControl/>
        <w:suppressLineNumbers w:val="0"/>
        <w:spacing w:before="0" w:beforeAutospacing="0" w:after="150" w:afterAutospacing="0" w:line="435" w:lineRule="atLeast"/>
        <w:ind w:left="0" w:right="0" w:firstLine="90"/>
        <w:rPr>
          <w:color w:val="auto"/>
        </w:rPr>
      </w:pPr>
      <w:r>
        <w:rPr>
          <w:rStyle w:val="9"/>
          <w:rFonts w:hint="eastAsia" w:ascii="宋体" w:hAnsi="宋体" w:eastAsia="宋体" w:cs="宋体"/>
          <w:b/>
          <w:color w:val="auto"/>
          <w:sz w:val="24"/>
          <w:szCs w:val="24"/>
        </w:rPr>
        <w:t>1.2.2.4最终验收：</w:t>
      </w:r>
    </w:p>
    <w:p>
      <w:pPr>
        <w:pStyle w:val="6"/>
        <w:keepNext w:val="0"/>
        <w:keepLines w:val="0"/>
        <w:widowControl/>
        <w:suppressLineNumbers w:val="0"/>
        <w:spacing w:before="0" w:beforeAutospacing="0" w:after="150" w:afterAutospacing="0" w:line="435" w:lineRule="atLeast"/>
        <w:ind w:left="0" w:right="0" w:firstLine="540"/>
        <w:rPr>
          <w:color w:val="auto"/>
        </w:rPr>
      </w:pPr>
      <w:r>
        <w:rPr>
          <w:rFonts w:hint="eastAsia" w:ascii="宋体" w:hAnsi="宋体" w:eastAsia="宋体" w:cs="宋体"/>
          <w:color w:val="auto"/>
          <w:sz w:val="24"/>
          <w:szCs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1.2.3中标人在采购人安装现场进行最终验收所产生的一切费用由中标人承担（并入投标报价内）。</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1.2.4若验收不能符合要求，采购人将按合同条款的有关规定执行。</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1.2.5 （若有）进口商品应提供《中华人民共和国海关进口货物报关单》的原件或者完整版复印件（复印件不能遮挡任何信息）。</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1.2.6（若有）进口商品属于应检的(或甲方要求检的)应有中标人请商检部门出具的商检报告，费用均由中标人承担。进口商品若属于免检产品，需要出具免检的相关证明材料。</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（2）技术资料要求:</w:t>
      </w:r>
      <w:r>
        <w:rPr>
          <w:rFonts w:hint="eastAsia" w:ascii="宋体" w:hAnsi="宋体" w:eastAsia="宋体" w:cs="宋体"/>
          <w:color w:val="auto"/>
          <w:sz w:val="24"/>
          <w:szCs w:val="24"/>
        </w:rPr>
        <w:t>中标人需提供本项目全套设备配置清单（详列名 称、品 牌型号、数量、原产 地等）。中标人应向采购人提供以下目录的技术资料壹套（各项指标和参数应符合验收标准，采购人有权委托中国 有资格单位或机构对设备性能、精度进行校核）。</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2.1出厂明细表(装箱单)；</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2.2出厂检验报告和合格证书；</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2.3使用说明书；</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2.4安装手册、操作手册、维修手册；</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2.5零部件目录；</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2.6相关文件、支持程序软盘或光盘；</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2.7提供原 产地制造商的产品证明；</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2.8合同中要求的其它文件资料。</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（3）专用工具</w:t>
      </w:r>
    </w:p>
    <w:p>
      <w:pPr>
        <w:pStyle w:val="6"/>
        <w:keepNext w:val="0"/>
        <w:keepLines w:val="0"/>
        <w:widowControl/>
        <w:suppressLineNumbers w:val="0"/>
        <w:spacing w:before="0" w:beforeAutospacing="0" w:after="150" w:afterAutospacing="0" w:line="435" w:lineRule="atLeast"/>
        <w:ind w:left="0" w:right="0"/>
        <w:rPr>
          <w:color w:val="auto"/>
        </w:rPr>
      </w:pPr>
      <w:r>
        <w:rPr>
          <w:rFonts w:hint="eastAsia" w:ascii="宋体" w:hAnsi="宋体" w:eastAsia="宋体" w:cs="宋体"/>
          <w:color w:val="auto"/>
          <w:sz w:val="24"/>
          <w:szCs w:val="24"/>
        </w:rPr>
        <w:t>3.1中标人应向采购人提供一套维修所需的专用工具及清单(清单附在投标文件中)。</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（4）特殊工具</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4.1中标人应向采购人提供货物安装和维修所需的特殊工具及清单和中文说明书，其费用包括在投标总价内。</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pacing w:val="0"/>
          <w:sz w:val="24"/>
          <w:szCs w:val="24"/>
          <w:shd w:val="clear" w:fill="FFFFFF"/>
        </w:rPr>
        <w:t>（5）售 后 服务要求</w:t>
      </w:r>
    </w:p>
    <w:p>
      <w:pPr>
        <w:pStyle w:val="6"/>
        <w:keepNext w:val="0"/>
        <w:keepLines w:val="0"/>
        <w:widowControl/>
        <w:suppressLineNumbers w:val="0"/>
        <w:spacing w:before="0" w:beforeAutospacing="0" w:after="150" w:afterAutospacing="0" w:line="405" w:lineRule="atLeast"/>
        <w:ind w:left="0" w:right="0" w:firstLine="465"/>
        <w:rPr>
          <w:color w:val="auto"/>
        </w:rPr>
      </w:pPr>
      <w:r>
        <w:rPr>
          <w:rFonts w:hint="eastAsia" w:ascii="宋体" w:hAnsi="宋体" w:eastAsia="宋体" w:cs="宋体"/>
          <w:color w:val="auto"/>
          <w:sz w:val="24"/>
          <w:szCs w:val="24"/>
        </w:rPr>
        <w:t>5.1中标人应对本项目所投产品提供不少于</w:t>
      </w:r>
      <w:r>
        <w:rPr>
          <w:rStyle w:val="9"/>
          <w:rFonts w:hint="eastAsia" w:ascii="宋体" w:hAnsi="宋体" w:eastAsia="宋体" w:cs="宋体"/>
          <w:b/>
          <w:color w:val="auto"/>
          <w:sz w:val="24"/>
          <w:szCs w:val="24"/>
        </w:rPr>
        <w:t>贰年</w:t>
      </w:r>
      <w:r>
        <w:rPr>
          <w:rFonts w:hint="eastAsia" w:ascii="宋体" w:hAnsi="宋体" w:eastAsia="宋体" w:cs="宋体"/>
          <w:color w:val="auto"/>
          <w:sz w:val="24"/>
          <w:szCs w:val="24"/>
        </w:rPr>
        <w:t>的现场免费保修（不得低于生产厂家要求，含所有配件及耗材)，终身维修（含附属设备）。免费保修期自设备安装调试正常，验收签名之日起计算。保修期内，须按合同条款提供免费服务，非因操作不当造成要更换的零配件及设备由中标人负责包修、包换。中标人在免费保修期内须提供免费上门维修服务，并进行终身维护。</w:t>
      </w:r>
      <w:r>
        <w:rPr>
          <w:rStyle w:val="9"/>
          <w:rFonts w:hint="eastAsia" w:ascii="宋体" w:hAnsi="宋体" w:eastAsia="宋体" w:cs="宋体"/>
          <w:b/>
          <w:color w:val="auto"/>
          <w:sz w:val="24"/>
          <w:szCs w:val="24"/>
        </w:rPr>
        <w:t>如保修期内同一故障发生三次，或在两个月内无法修复，中标人无条件换货，立即更换新机；如保修期内因故障停机，按停机时间的双倍顺延保修期。</w:t>
      </w:r>
      <w:r>
        <w:rPr>
          <w:rFonts w:hint="eastAsia" w:ascii="宋体" w:hAnsi="宋体" w:eastAsia="宋体" w:cs="宋体"/>
          <w:color w:val="auto"/>
          <w:sz w:val="24"/>
          <w:szCs w:val="24"/>
        </w:rPr>
        <w:t>免费保修期满前1个月内中标人应负责对设备进行一次免费全面检查，如发现潜在问题，应负责排除，保证设备正常运行。</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5.2质</w:t>
      </w:r>
      <w:r>
        <w:rPr>
          <w:rFonts w:hint="eastAsia" w:ascii="宋体" w:hAnsi="宋体" w:eastAsia="宋体" w:cs="宋体"/>
          <w:color w:val="auto"/>
        </w:rPr>
        <w:t>保期内非因采购人的人为原因而出现产品质量及安装问题，由中标人负责包修、包换或包退，并承担因此而产生的一切费用。中标人在收到采购人通知设备发生故障需维修时，电话技术支持随时响应，接到设备故障报修电话2小时内响应，24小时内专业技术人员到达现场，及时修复故障设备，保障设备正常运行；常规情况修复时限24小时。质保期期间如设备在1个月内同一部件出现两次同一故障，中标人应负责免费更换整机。</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5.3投标人承诺中标 后，办理车辆上牌：生产厂家负责申报国家工信部整车公告、环保、3C，并协助用户办理用户所在地上牌手续。需提供承诺函。</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5.4质量保证期结束后，中标人应在设备使用地区指 定有维修能力的代 理机构对设备在必要时进行定期维护和修理。</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5.5质量保证期后的服务要求</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5.5.1质保期结束后，中标人仍应负责对设备提供售 后 服务，并保障备品配件的供应。</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5.6投标人应在投标文件中详细提供售 后 服务承诺、保障措施、保修期内的维保范围和内容、保修期后的维保服务内容，及服务费用的报价。投标人须在投标文件中承诺质量保证期后的服务不收取上门服务人工及差旅费。</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（6）技术培训</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6.1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6"/>
        <w:keepNext w:val="0"/>
        <w:keepLines w:val="0"/>
        <w:widowControl/>
        <w:suppressLineNumbers w:val="0"/>
        <w:spacing w:before="0" w:beforeAutospacing="0" w:after="150" w:afterAutospacing="0" w:line="435" w:lineRule="atLeast"/>
        <w:ind w:left="0" w:right="0"/>
        <w:rPr>
          <w:color w:val="auto"/>
        </w:rPr>
      </w:pPr>
      <w:r>
        <w:rPr>
          <w:rStyle w:val="9"/>
          <w:rFonts w:hint="eastAsia" w:ascii="宋体" w:hAnsi="宋体" w:eastAsia="宋体" w:cs="宋体"/>
          <w:b/>
          <w:color w:val="auto"/>
          <w:sz w:val="24"/>
          <w:szCs w:val="24"/>
        </w:rPr>
        <w:t>（7）备品备件</w:t>
      </w:r>
    </w:p>
    <w:p>
      <w:pPr>
        <w:pStyle w:val="6"/>
        <w:keepNext w:val="0"/>
        <w:keepLines w:val="0"/>
        <w:widowControl/>
        <w:suppressLineNumbers w:val="0"/>
        <w:spacing w:before="0" w:beforeAutospacing="0" w:after="150" w:afterAutospacing="0" w:line="435" w:lineRule="atLeast"/>
        <w:ind w:left="0" w:right="0" w:firstLine="480"/>
        <w:rPr>
          <w:color w:val="auto"/>
        </w:rPr>
      </w:pPr>
      <w:r>
        <w:rPr>
          <w:rFonts w:hint="eastAsia" w:ascii="宋体" w:hAnsi="宋体" w:eastAsia="宋体" w:cs="宋体"/>
          <w:color w:val="auto"/>
          <w:sz w:val="24"/>
          <w:szCs w:val="24"/>
        </w:rPr>
        <w:t>7.1中标人应提供设备在质量保证期过后一年内所需的备品备件及清单（含价格清单，价格清单应在报价标部分列明，并说明此价格清单为该备品配件的最高限价）。</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7.2中标人应在中华人民共和国境内设有备品备件保税库（注明详细地址），且备品配件可保证供应10年以上。投标人应保证能迅速快捷地提供设备的备品备件。</w:t>
      </w:r>
      <w:r>
        <w:rPr>
          <w:rFonts w:hint="eastAsia" w:ascii="宋体" w:hAnsi="宋体" w:eastAsia="宋体" w:cs="宋体"/>
          <w:color w:val="auto"/>
          <w:sz w:val="24"/>
          <w:szCs w:val="24"/>
        </w:rPr>
        <w:br w:type="textWrapping"/>
      </w:r>
      <w:r>
        <w:rPr>
          <w:rStyle w:val="9"/>
          <w:rFonts w:hint="eastAsia" w:ascii="宋体" w:hAnsi="宋体" w:eastAsia="宋体" w:cs="宋体"/>
          <w:b/>
          <w:color w:val="auto"/>
          <w:sz w:val="24"/>
          <w:szCs w:val="24"/>
        </w:rPr>
        <w:t>（8）其他</w:t>
      </w:r>
    </w:p>
    <w:p>
      <w:pPr>
        <w:pStyle w:val="6"/>
        <w:keepNext w:val="0"/>
        <w:keepLines w:val="0"/>
        <w:widowControl/>
        <w:suppressLineNumbers w:val="0"/>
        <w:spacing w:before="0" w:beforeAutospacing="0" w:after="150" w:afterAutospacing="0" w:line="405" w:lineRule="atLeast"/>
        <w:ind w:left="0" w:right="0"/>
        <w:rPr>
          <w:color w:val="auto"/>
        </w:rPr>
      </w:pPr>
      <w:r>
        <w:rPr>
          <w:rFonts w:hint="eastAsia" w:ascii="宋体" w:hAnsi="宋体" w:eastAsia="宋体" w:cs="宋体"/>
          <w:color w:val="auto"/>
          <w:sz w:val="24"/>
          <w:szCs w:val="24"/>
        </w:rPr>
        <w:t>   8.1</w:t>
      </w:r>
      <w:r>
        <w:rPr>
          <w:rFonts w:hint="eastAsia" w:ascii="宋体" w:hAnsi="宋体" w:eastAsia="宋体" w:cs="宋体"/>
        </w:rPr>
        <w:t>投标人所投产品除资格要求中已要求提供强制性要求或认证的证明材料的，本项目购买的产品中若有遗漏强制性认证要求的，可暂不提供，但在交货时需提供该产品相关认证的证明材料，否则予以退货处理。</w:t>
      </w:r>
    </w:p>
    <w:p>
      <w:pPr>
        <w:keepNext w:val="0"/>
        <w:keepLines w:val="0"/>
        <w:widowControl/>
        <w:suppressLineNumbers w:val="0"/>
        <w:jc w:val="left"/>
        <w:rPr>
          <w:color w:val="auto"/>
        </w:rPr>
      </w:pPr>
      <w:r>
        <w:rPr>
          <w:rFonts w:ascii="宋体" w:hAnsi="宋体" w:eastAsia="宋体" w:cs="宋体"/>
          <w:color w:val="auto"/>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编制说明</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4"/>
          <w:szCs w:val="24"/>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1、除招标文件另有规定外，本章中：</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1.1涉及投标人的</w:t>
      </w:r>
      <w:r>
        <w:rPr>
          <w:rStyle w:val="9"/>
          <w:rFonts w:hint="eastAsia" w:ascii="宋体" w:hAnsi="宋体" w:eastAsia="宋体" w:cs="宋体"/>
          <w:b/>
          <w:color w:val="auto"/>
          <w:sz w:val="24"/>
          <w:szCs w:val="24"/>
        </w:rPr>
        <w:t>“全称”</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9"/>
          <w:rFonts w:hint="eastAsia" w:ascii="宋体" w:hAnsi="宋体" w:eastAsia="宋体" w:cs="宋体"/>
          <w:b/>
          <w:color w:val="auto"/>
          <w:sz w:val="24"/>
          <w:szCs w:val="24"/>
        </w:rPr>
        <w:t>投标人的全称</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9"/>
          <w:rFonts w:hint="eastAsia" w:ascii="宋体" w:hAnsi="宋体" w:eastAsia="宋体" w:cs="宋体"/>
          <w:b/>
          <w:color w:val="auto"/>
          <w:sz w:val="24"/>
          <w:szCs w:val="24"/>
        </w:rPr>
        <w:t>牵头方的全称</w:t>
      </w:r>
      <w:r>
        <w:rPr>
          <w:rFonts w:hint="eastAsia" w:ascii="宋体" w:hAnsi="宋体" w:eastAsia="宋体" w:cs="宋体"/>
          <w:color w:val="auto"/>
          <w:sz w:val="24"/>
          <w:szCs w:val="24"/>
        </w:rPr>
        <w:t>并加注</w:t>
      </w:r>
      <w:r>
        <w:rPr>
          <w:rStyle w:val="9"/>
          <w:rFonts w:hint="eastAsia" w:ascii="宋体" w:hAnsi="宋体" w:eastAsia="宋体" w:cs="宋体"/>
          <w:b/>
          <w:color w:val="auto"/>
          <w:sz w:val="24"/>
          <w:szCs w:val="24"/>
        </w:rPr>
        <w:t>（联合体牵头方）</w:t>
      </w:r>
      <w:r>
        <w:rPr>
          <w:rFonts w:hint="eastAsia" w:ascii="宋体" w:hAnsi="宋体" w:eastAsia="宋体" w:cs="宋体"/>
          <w:color w:val="auto"/>
          <w:sz w:val="24"/>
          <w:szCs w:val="24"/>
        </w:rPr>
        <w:t>，即应表述为：</w:t>
      </w:r>
      <w:r>
        <w:rPr>
          <w:rStyle w:val="9"/>
          <w:rFonts w:hint="eastAsia" w:ascii="宋体" w:hAnsi="宋体" w:eastAsia="宋体" w:cs="宋体"/>
          <w:b/>
          <w:color w:val="auto"/>
          <w:sz w:val="24"/>
          <w:szCs w:val="24"/>
        </w:rPr>
        <w:t>“牵头方的全称（联合体牵头方）”</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1.2涉及投标人</w:t>
      </w:r>
      <w:r>
        <w:rPr>
          <w:rStyle w:val="9"/>
          <w:rFonts w:hint="eastAsia" w:ascii="宋体" w:hAnsi="宋体" w:eastAsia="宋体" w:cs="宋体"/>
          <w:b/>
          <w:color w:val="auto"/>
          <w:sz w:val="24"/>
          <w:szCs w:val="24"/>
        </w:rPr>
        <w:t>“加盖单位公章”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9"/>
          <w:rFonts w:hint="eastAsia" w:ascii="宋体" w:hAnsi="宋体" w:eastAsia="宋体" w:cs="宋体"/>
          <w:b/>
          <w:color w:val="auto"/>
          <w:sz w:val="24"/>
          <w:szCs w:val="24"/>
        </w:rPr>
        <w:t>加盖投标人的单位公章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9"/>
          <w:rFonts w:hint="eastAsia" w:ascii="宋体" w:hAnsi="宋体" w:eastAsia="宋体" w:cs="宋体"/>
          <w:b/>
          <w:color w:val="auto"/>
          <w:sz w:val="24"/>
          <w:szCs w:val="24"/>
        </w:rPr>
        <w:t>加盖联合体牵头方的单位公章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1.3涉及</w:t>
      </w:r>
      <w:r>
        <w:rPr>
          <w:rStyle w:val="9"/>
          <w:rFonts w:hint="eastAsia" w:ascii="宋体" w:hAnsi="宋体" w:eastAsia="宋体" w:cs="宋体"/>
          <w:b/>
          <w:color w:val="auto"/>
          <w:sz w:val="24"/>
          <w:szCs w:val="24"/>
        </w:rPr>
        <w:t>“投标人代表签字”</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（1）不接受联合体投标的，指由</w:t>
      </w:r>
      <w:r>
        <w:rPr>
          <w:rStyle w:val="9"/>
          <w:rFonts w:hint="eastAsia" w:ascii="宋体" w:hAnsi="宋体" w:eastAsia="宋体" w:cs="宋体"/>
          <w:b/>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（2）接受联合体投标且投标人为联合体的，指由</w:t>
      </w:r>
      <w:r>
        <w:rPr>
          <w:rStyle w:val="9"/>
          <w:rFonts w:hint="eastAsia" w:ascii="宋体" w:hAnsi="宋体" w:eastAsia="宋体" w:cs="宋体"/>
          <w:b/>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1.4</w:t>
      </w:r>
      <w:r>
        <w:rPr>
          <w:rStyle w:val="9"/>
          <w:rFonts w:hint="eastAsia" w:ascii="宋体" w:hAnsi="宋体" w:eastAsia="宋体" w:cs="宋体"/>
          <w:b/>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1.5</w:t>
      </w:r>
      <w:r>
        <w:rPr>
          <w:rStyle w:val="9"/>
          <w:rFonts w:hint="eastAsia" w:ascii="宋体" w:hAnsi="宋体" w:eastAsia="宋体" w:cs="宋体"/>
          <w:b/>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2、除招标文件另有规定外，本章中</w:t>
      </w:r>
      <w:r>
        <w:rPr>
          <w:rStyle w:val="9"/>
          <w:rFonts w:hint="eastAsia" w:ascii="宋体" w:hAnsi="宋体" w:eastAsia="宋体" w:cs="宋体"/>
          <w:b/>
          <w:color w:val="auto"/>
          <w:sz w:val="24"/>
          <w:szCs w:val="24"/>
        </w:rPr>
        <w:t>“投标人的资格及资信证明文件”</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3、投标人对投标文件的索引应编制页码。</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4、除招标文件另有规定外，本章中：</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（资格及资信证明部分）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一、投标函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二、投标人的资格及资信证明文件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三、投标保证金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9"/>
          <w:rFonts w:hint="eastAsia" w:ascii="宋体" w:hAnsi="宋体" w:eastAsia="宋体" w:cs="宋体"/>
          <w:b/>
          <w:color w:val="auto"/>
          <w:sz w:val="21"/>
          <w:szCs w:val="21"/>
        </w:rPr>
        <w:t>资格审查不合格</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一、投标函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（1）资格及资信证明部分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①投标函</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②投标人的资格及资信证明文件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③投标保证金</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（2）报价部分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①开标一览表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②投标分项报价表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③招标文件规定的价格扣除证明材料（若有）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④招标文件规定的加分证明材料（若有）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（3）技术商务部分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①标的说明一览表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②技术和服务要求响应表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③商务条件响应表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④投标人提交的其他资料（若有）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w:t>
      </w:r>
      <w:r>
        <w:rPr>
          <w:rStyle w:val="9"/>
          <w:rFonts w:hint="eastAsia" w:ascii="宋体" w:hAnsi="宋体" w:eastAsia="宋体" w:cs="宋体"/>
          <w:b/>
          <w:color w:val="auto"/>
          <w:sz w:val="21"/>
          <w:szCs w:val="21"/>
        </w:rPr>
        <w:t>确认：</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w:t>
      </w:r>
      <w:r>
        <w:rPr>
          <w:rStyle w:val="9"/>
          <w:rFonts w:hint="eastAsia" w:ascii="宋体" w:hAnsi="宋体" w:eastAsia="宋体" w:cs="宋体"/>
          <w:b/>
          <w:color w:val="auto"/>
          <w:sz w:val="21"/>
          <w:szCs w:val="21"/>
        </w:rPr>
        <w:t>承诺及声明：</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二、投标人的资格及资信证明文件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二-1单位负责人授权书（若有）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投标人代表无转委权。特此授权。</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授权方</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接受授权方</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附：单位负责人、投标人代表的身份证正反面复印件</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9"/>
          <w:rFonts w:hint="eastAsia" w:ascii="宋体" w:hAnsi="宋体" w:eastAsia="宋体" w:cs="宋体"/>
          <w:b/>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5、纸质投标文件正本中的本授权书（若有）应为原件。</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二-2营业执照等证明文件</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二-3财务状况报告（财务报告、或资信证明、或投标担保函）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）投标人提供财务报告的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）投标人提供资信证明的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）投标人提供投标担保函的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[2011]124</w:t>
      </w:r>
      <w:r>
        <w:rPr>
          <w:rFonts w:hint="eastAsia" w:ascii="宋体" w:hAnsi="宋体" w:eastAsia="宋体" w:cs="宋体"/>
          <w:color w:val="auto"/>
          <w:sz w:val="21"/>
          <w:szCs w:val="21"/>
        </w:rPr>
        <w:t>号）的规定。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-4依法缴纳税收证明材料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1、依法缴纳税收的投标人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2、依法免税的投标人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“依法缴纳税收证明材料”</w:t>
      </w:r>
      <w:r>
        <w:rPr>
          <w:rFonts w:hint="eastAsia" w:ascii="宋体" w:hAnsi="宋体" w:eastAsia="宋体" w:cs="宋体"/>
          <w:color w:val="auto"/>
          <w:sz w:val="21"/>
          <w:szCs w:val="21"/>
        </w:rPr>
        <w:t>有欠缴记录的，视为</w:t>
      </w:r>
      <w:r>
        <w:rPr>
          <w:rStyle w:val="9"/>
          <w:rFonts w:hint="eastAsia" w:ascii="宋体" w:hAnsi="宋体" w:eastAsia="宋体" w:cs="宋体"/>
          <w:b/>
          <w:color w:val="auto"/>
          <w:sz w:val="21"/>
          <w:szCs w:val="21"/>
        </w:rPr>
        <w:t>未依法缴纳税收。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二-5依法缴纳社会保障资金证明材料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“依法缴纳社会保障资金证明材料”</w:t>
      </w:r>
      <w:r>
        <w:rPr>
          <w:rFonts w:hint="eastAsia" w:ascii="宋体" w:hAnsi="宋体" w:eastAsia="宋体" w:cs="宋体"/>
          <w:color w:val="auto"/>
          <w:sz w:val="21"/>
          <w:szCs w:val="21"/>
        </w:rPr>
        <w:t>有欠缴记录的，视为</w:t>
      </w:r>
      <w:r>
        <w:rPr>
          <w:rStyle w:val="9"/>
          <w:rFonts w:hint="eastAsia" w:ascii="宋体" w:hAnsi="宋体" w:eastAsia="宋体" w:cs="宋体"/>
          <w:b/>
          <w:color w:val="auto"/>
          <w:sz w:val="21"/>
          <w:szCs w:val="21"/>
        </w:rPr>
        <w:t>未依法缴纳社会保障资金。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4、请投标人根据实际情况如实声明，否则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3、请投标人根据实际情况如实声明，否则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-8信用记录查询结果</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二-9检察机关行贿犯罪档案查询结果告知函</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3、告知函应在有效期内且内容完整、清晰、整洁，否则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9"/>
          <w:rFonts w:hint="eastAsia" w:ascii="宋体" w:hAnsi="宋体" w:eastAsia="宋体" w:cs="宋体"/>
          <w:b/>
          <w:color w:val="auto"/>
          <w:sz w:val="21"/>
          <w:szCs w:val="21"/>
        </w:rPr>
        <w:t>均视同有效。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二-10联合体协议（若有）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一、联合体各方应承担的工作和义务具体如下：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2、成员方：</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二、联合体各方约定：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3、纸质投标文件正本中的本协议（若有）应为原件。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二-11中小企业声明函</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残疾人福利性单位声明函</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二-12其他资格证明文件（若有）</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9"/>
          <w:rFonts w:hint="eastAsia" w:ascii="宋体" w:hAnsi="宋体" w:eastAsia="宋体" w:cs="宋体"/>
          <w:b/>
          <w:color w:val="auto"/>
          <w:sz w:val="21"/>
          <w:szCs w:val="21"/>
        </w:rPr>
        <w:t>、投标保证金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1、在此项下提交的</w:t>
      </w:r>
      <w:r>
        <w:rPr>
          <w:rStyle w:val="9"/>
          <w:rFonts w:hint="eastAsia" w:ascii="宋体" w:hAnsi="宋体" w:eastAsia="宋体" w:cs="宋体"/>
          <w:b/>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（报价部分）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一、开标一览表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三、招标文件规定的价格扣除证明材料（若有）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四、招标文件规定的加分证明材料（若有）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一、开标一览表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3"/>
        <w:gridCol w:w="5670"/>
        <w:gridCol w:w="779"/>
        <w:gridCol w:w="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投标报价</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保证金</w:t>
            </w:r>
          </w:p>
        </w:tc>
        <w:tc>
          <w:tcPr>
            <w:tcW w:w="858"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rPr>
        <w:tc>
          <w:tcPr>
            <w:tcW w:w="121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8"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a.投标报价的明细：详见《投标分项报价表》。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8"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1.1投标人应按照本表格式填写所投的合同包的“投标报价”。</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55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85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98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56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09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1.4同一合同包中，</w:t>
      </w:r>
      <w:r>
        <w:rPr>
          <w:rStyle w:val="9"/>
          <w:rFonts w:hint="eastAsia" w:ascii="宋体" w:hAnsi="宋体" w:eastAsia="宋体" w:cs="宋体"/>
          <w:b/>
          <w:color w:val="auto"/>
          <w:sz w:val="21"/>
          <w:szCs w:val="21"/>
        </w:rPr>
        <w:t>“单价（现场）”</w:t>
      </w:r>
      <w:r>
        <w:rPr>
          <w:rFonts w:hint="eastAsia" w:ascii="宋体" w:hAnsi="宋体" w:eastAsia="宋体" w:cs="宋体"/>
          <w:color w:val="auto"/>
          <w:sz w:val="21"/>
          <w:szCs w:val="21"/>
        </w:rPr>
        <w:t>×</w:t>
      </w:r>
      <w:r>
        <w:rPr>
          <w:rStyle w:val="9"/>
          <w:rFonts w:hint="eastAsia" w:ascii="宋体" w:hAnsi="宋体" w:eastAsia="宋体" w:cs="宋体"/>
          <w:b/>
          <w:color w:val="auto"/>
          <w:sz w:val="21"/>
          <w:szCs w:val="21"/>
        </w:rPr>
        <w:t>“数量”</w:t>
      </w:r>
      <w:r>
        <w:rPr>
          <w:rFonts w:hint="eastAsia" w:ascii="宋体" w:hAnsi="宋体" w:eastAsia="宋体" w:cs="宋体"/>
          <w:color w:val="auto"/>
          <w:sz w:val="21"/>
          <w:szCs w:val="21"/>
        </w:rPr>
        <w:t>=</w:t>
      </w:r>
      <w:r>
        <w:rPr>
          <w:rStyle w:val="9"/>
          <w:rFonts w:hint="eastAsia" w:ascii="宋体" w:hAnsi="宋体" w:eastAsia="宋体" w:cs="宋体"/>
          <w:b/>
          <w:color w:val="auto"/>
          <w:sz w:val="21"/>
          <w:szCs w:val="21"/>
        </w:rPr>
        <w:t>“总价（现场）”</w:t>
      </w:r>
      <w:r>
        <w:rPr>
          <w:rFonts w:hint="eastAsia" w:ascii="宋体" w:hAnsi="宋体" w:eastAsia="宋体" w:cs="宋体"/>
          <w:color w:val="auto"/>
          <w:sz w:val="21"/>
          <w:szCs w:val="21"/>
        </w:rPr>
        <w:t>，全部品目号</w:t>
      </w:r>
      <w:r>
        <w:rPr>
          <w:rStyle w:val="9"/>
          <w:rFonts w:hint="eastAsia" w:ascii="宋体" w:hAnsi="宋体" w:eastAsia="宋体" w:cs="宋体"/>
          <w:b/>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9"/>
          <w:rFonts w:hint="eastAsia" w:ascii="宋体" w:hAnsi="宋体" w:eastAsia="宋体" w:cs="宋体"/>
          <w:b/>
          <w:color w:val="auto"/>
          <w:sz w:val="21"/>
          <w:szCs w:val="21"/>
        </w:rPr>
        <w:t>“投标总价”</w:t>
      </w:r>
      <w:r>
        <w:rPr>
          <w:rFonts w:hint="eastAsia" w:ascii="宋体" w:hAnsi="宋体" w:eastAsia="宋体" w:cs="宋体"/>
          <w:color w:val="auto"/>
          <w:sz w:val="21"/>
          <w:szCs w:val="21"/>
        </w:rPr>
        <w:t>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三、招标文件规定的价格扣除证明材料（若有）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三-1优先类节能产品、环境标志产品价格扣除证明材料（若有）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1、对节能、环境标志产品计算价格扣除时，只依据投标文件</w:t>
      </w:r>
      <w:r>
        <w:rPr>
          <w:rStyle w:val="9"/>
          <w:rFonts w:hint="eastAsia" w:ascii="宋体" w:hAnsi="宋体" w:eastAsia="宋体" w:cs="宋体"/>
          <w:b/>
          <w:color w:val="auto"/>
          <w:sz w:val="21"/>
          <w:szCs w:val="21"/>
        </w:rPr>
        <w:t>“三</w:t>
      </w:r>
      <w:r>
        <w:rPr>
          <w:rStyle w:val="9"/>
          <w:rFonts w:hint="default" w:ascii="Calibri" w:hAnsi="Calibri" w:eastAsia="宋体" w:cs="Calibri"/>
          <w:b/>
          <w:color w:val="auto"/>
          <w:sz w:val="21"/>
          <w:szCs w:val="21"/>
        </w:rPr>
        <w:t>-1-</w:t>
      </w:r>
      <w:r>
        <w:rPr>
          <w:rStyle w:val="9"/>
          <w:rFonts w:hint="eastAsia" w:ascii="宋体" w:hAnsi="宋体" w:eastAsia="宋体" w:cs="宋体"/>
          <w:b/>
          <w:color w:val="auto"/>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三-2-①小型、微型企业产品等统计表（价格扣除适用，若有）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1、对小型、微型企业产品等计算价格扣除时，只依据投标文件</w:t>
      </w:r>
      <w:r>
        <w:rPr>
          <w:rStyle w:val="9"/>
          <w:rFonts w:hint="eastAsia" w:ascii="宋体" w:hAnsi="宋体" w:eastAsia="宋体" w:cs="宋体"/>
          <w:b/>
          <w:color w:val="auto"/>
          <w:sz w:val="21"/>
          <w:szCs w:val="21"/>
        </w:rPr>
        <w:t>“三</w:t>
      </w:r>
      <w:r>
        <w:rPr>
          <w:rStyle w:val="9"/>
          <w:rFonts w:hint="default" w:ascii="Calibri" w:hAnsi="Calibri" w:eastAsia="宋体" w:cs="Calibri"/>
          <w:b/>
          <w:color w:val="auto"/>
          <w:sz w:val="21"/>
          <w:szCs w:val="21"/>
        </w:rPr>
        <w:t>-2-</w:t>
      </w:r>
      <w:r>
        <w:rPr>
          <w:rStyle w:val="9"/>
          <w:rFonts w:hint="eastAsia" w:ascii="宋体" w:hAnsi="宋体" w:eastAsia="宋体" w:cs="宋体"/>
          <w:b/>
          <w:color w:val="auto"/>
          <w:sz w:val="21"/>
          <w:szCs w:val="21"/>
        </w:rPr>
        <w:t>②中小企业声明函（价格扣除适用，若有）”及“三</w:t>
      </w:r>
      <w:r>
        <w:rPr>
          <w:rStyle w:val="9"/>
          <w:rFonts w:hint="default" w:ascii="Calibri" w:hAnsi="Calibri" w:eastAsia="宋体" w:cs="Calibri"/>
          <w:b/>
          <w:color w:val="auto"/>
          <w:sz w:val="21"/>
          <w:szCs w:val="21"/>
        </w:rPr>
        <w:t>-2-</w:t>
      </w:r>
      <w:r>
        <w:rPr>
          <w:rStyle w:val="9"/>
          <w:rFonts w:hint="eastAsia" w:ascii="宋体" w:hAnsi="宋体" w:eastAsia="宋体" w:cs="宋体"/>
          <w:b/>
          <w:color w:val="auto"/>
          <w:sz w:val="21"/>
          <w:szCs w:val="21"/>
        </w:rPr>
        <w:t>③小型、微型企业等证明材料（价格扣除适用，若有）”。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除本表第4条规定情形外，小型、微型企业（含监狱企业）承担的工程或提供的服务不享受价格扣除。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b/>
          <w:color w:val="auto"/>
          <w:sz w:val="21"/>
          <w:szCs w:val="21"/>
        </w:rPr>
        <w:t>可享受价格扣除。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三-2-②中小企业声明函（价格扣除适用，若有）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3、若《中小企业声明函》内容不真实，</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4、投标人为监狱企业的，可不填写本声明函。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5、投标人为残疾人福利性单位的，可不填写本声明函。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三-2-③小型、微型企业等证明材料（价格扣除适用，若有）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b/>
          <w:color w:val="auto"/>
          <w:sz w:val="21"/>
          <w:szCs w:val="21"/>
        </w:rPr>
        <w:t>可享受价格扣除。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9"/>
          <w:rFonts w:hint="eastAsia" w:ascii="宋体" w:hAnsi="宋体" w:eastAsia="宋体" w:cs="宋体"/>
          <w:b/>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四、招标文件规定的加分证明材料（若有）</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四-1优先类节能产品、环境标志产品加分证明材料（若有）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1、对节能、环境标志产品计算加分时，只依据投标文件</w:t>
      </w:r>
      <w:r>
        <w:rPr>
          <w:rStyle w:val="9"/>
          <w:rFonts w:hint="eastAsia" w:ascii="宋体" w:hAnsi="宋体" w:eastAsia="宋体" w:cs="宋体"/>
          <w:b/>
          <w:color w:val="auto"/>
          <w:sz w:val="21"/>
          <w:szCs w:val="21"/>
        </w:rPr>
        <w:t>“四</w:t>
      </w:r>
      <w:r>
        <w:rPr>
          <w:rStyle w:val="9"/>
          <w:rFonts w:hint="default" w:ascii="Calibri" w:hAnsi="Calibri" w:eastAsia="宋体" w:cs="Calibri"/>
          <w:b/>
          <w:color w:val="auto"/>
          <w:sz w:val="21"/>
          <w:szCs w:val="21"/>
        </w:rPr>
        <w:t>-1-</w:t>
      </w:r>
      <w:r>
        <w:rPr>
          <w:rStyle w:val="9"/>
          <w:rFonts w:hint="eastAsia" w:ascii="宋体" w:hAnsi="宋体" w:eastAsia="宋体" w:cs="宋体"/>
          <w:b/>
          <w:color w:val="auto"/>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9"/>
          <w:rFonts w:hint="eastAsia" w:ascii="宋体" w:hAnsi="宋体" w:eastAsia="宋体" w:cs="宋体"/>
          <w:b/>
          <w:color w:val="auto"/>
          <w:sz w:val="21"/>
          <w:szCs w:val="21"/>
        </w:rPr>
        <w:t>-2招标文件规定的其他加分证明材料（若有）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9"/>
          <w:rFonts w:hint="eastAsia" w:ascii="宋体" w:hAnsi="宋体" w:eastAsia="宋体" w:cs="宋体"/>
          <w:b/>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（技术商务部分）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一、标的说明一览表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二、技术和服务要求响应表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三、商务条件响应表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四、投标人提交的其他资料（若有）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9"/>
          <w:rFonts w:hint="eastAsia" w:ascii="宋体" w:hAnsi="宋体" w:eastAsia="宋体" w:cs="宋体"/>
          <w:b/>
          <w:color w:val="auto"/>
          <w:sz w:val="21"/>
          <w:szCs w:val="21"/>
        </w:rPr>
        <w:t>符合性审查不合格</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一、标的说明一览表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855"/>
        <w:gridCol w:w="1695"/>
        <w:gridCol w:w="855"/>
        <w:gridCol w:w="1140"/>
        <w:gridCol w:w="1140"/>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187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3、投标文件中涉及</w:t>
      </w:r>
      <w:r>
        <w:rPr>
          <w:rStyle w:val="9"/>
          <w:rFonts w:hint="eastAsia" w:ascii="宋体" w:hAnsi="宋体" w:eastAsia="宋体" w:cs="宋体"/>
          <w:b/>
          <w:color w:val="auto"/>
          <w:sz w:val="21"/>
          <w:szCs w:val="21"/>
        </w:rPr>
        <w:t>“投标标的”、“数量”、“规格”、“来源地”</w:t>
      </w:r>
      <w:r>
        <w:rPr>
          <w:rFonts w:hint="eastAsia" w:ascii="宋体" w:hAnsi="宋体" w:eastAsia="宋体" w:cs="宋体"/>
          <w:color w:val="auto"/>
          <w:sz w:val="21"/>
          <w:szCs w:val="21"/>
        </w:rPr>
        <w:t>的内容若不一致，</w:t>
      </w:r>
      <w:r>
        <w:rPr>
          <w:rStyle w:val="9"/>
          <w:rFonts w:hint="eastAsia" w:ascii="宋体" w:hAnsi="宋体" w:eastAsia="宋体" w:cs="宋体"/>
          <w:b/>
          <w:color w:val="auto"/>
          <w:sz w:val="21"/>
          <w:szCs w:val="21"/>
        </w:rPr>
        <w:t>应以本表为准</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二、技术和服务要求响应表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三、商务条件响应表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四、投标人提交的其他资料（若有）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1、招标文件要求提交的除</w:t>
      </w:r>
      <w:r>
        <w:rPr>
          <w:rStyle w:val="9"/>
          <w:rFonts w:hint="eastAsia" w:ascii="宋体" w:hAnsi="宋体" w:eastAsia="宋体" w:cs="宋体"/>
          <w:b/>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auto"/>
          <w:spacing w:val="0"/>
          <w:sz w:val="33"/>
          <w:szCs w:val="33"/>
        </w:rPr>
      </w:pPr>
      <w:r>
        <w:rPr>
          <w:rFonts w:hint="default" w:ascii="Helvetica" w:hAnsi="Helvetica" w:eastAsia="Helvetica" w:cs="Helvetica"/>
          <w:b w:val="0"/>
          <w:i w:val="0"/>
          <w:caps w:val="0"/>
          <w:color w:val="auto"/>
          <w:spacing w:val="0"/>
          <w:sz w:val="33"/>
          <w:szCs w:val="33"/>
          <w:shd w:val="clear" w:fill="FFFFFF"/>
        </w:rPr>
        <w:t>采购文件相关附件</w:t>
      </w:r>
    </w:p>
    <w:p>
      <w:pPr>
        <w:rPr>
          <w:color w:val="auto"/>
        </w:rPr>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8513A"/>
    <w:multiLevelType w:val="singleLevel"/>
    <w:tmpl w:val="BC6851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A11CE"/>
    <w:rsid w:val="0F0F2C0D"/>
    <w:rsid w:val="2663108D"/>
    <w:rsid w:val="66642A04"/>
    <w:rsid w:val="6E4A11CE"/>
    <w:rsid w:val="768E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2020-12-25T08:40:00Z</dcterms:created>
  <dc:creator>华腾招标吴明珠</dc:creator>
  <cp:lastModifiedBy>华腾招标吴明珠</cp:lastModifiedBy>
  <dcterms:modified xsi:type="dcterms:W3CDTF">2020-12-29T09:27:10Z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