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outlineLvl w:val="0"/>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b/>
          <w:color w:val="auto"/>
          <w:sz w:val="72"/>
          <w:szCs w:val="72"/>
          <w:highlight w:val="none"/>
        </w:rPr>
        <w:t>福建省政府采购</w:t>
      </w:r>
    </w:p>
    <w:p>
      <w:pPr>
        <w:pStyle w:val="9"/>
        <w:jc w:val="center"/>
        <w:outlineLvl w:val="0"/>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b/>
          <w:color w:val="auto"/>
          <w:sz w:val="72"/>
          <w:szCs w:val="72"/>
          <w:highlight w:val="none"/>
        </w:rPr>
        <w:t>货物和服务项目</w:t>
      </w:r>
    </w:p>
    <w:p>
      <w:pPr>
        <w:pStyle w:val="9"/>
        <w:jc w:val="center"/>
        <w:outlineLvl w:val="0"/>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b/>
          <w:color w:val="auto"/>
          <w:sz w:val="72"/>
          <w:szCs w:val="72"/>
          <w:highlight w:val="none"/>
        </w:rPr>
        <w:t>公开招标文件</w:t>
      </w:r>
    </w:p>
    <w:p>
      <w:pPr>
        <w:pStyle w:val="9"/>
        <w:jc w:val="both"/>
        <w:outlineLvl w:val="2"/>
        <w:rPr>
          <w:rFonts w:hint="eastAsia" w:asciiTheme="minorEastAsia" w:hAnsiTheme="minorEastAsia" w:eastAsiaTheme="minorEastAsia" w:cstheme="minorEastAsia"/>
          <w:b/>
          <w:color w:val="auto"/>
          <w:sz w:val="28"/>
          <w:highlight w:val="none"/>
        </w:rPr>
      </w:pPr>
    </w:p>
    <w:p>
      <w:pPr>
        <w:pStyle w:val="9"/>
        <w:jc w:val="center"/>
        <w:outlineLvl w:val="2"/>
        <w:rPr>
          <w:rFonts w:hint="eastAsia" w:asciiTheme="minorEastAsia" w:hAnsiTheme="minorEastAsia" w:eastAsiaTheme="minorEastAsia" w:cstheme="minorEastAsia"/>
          <w:b/>
          <w:color w:val="auto"/>
          <w:sz w:val="56"/>
          <w:szCs w:val="40"/>
          <w:highlight w:val="none"/>
          <w:lang w:eastAsia="zh-CN"/>
        </w:rPr>
      </w:pPr>
      <w:r>
        <w:rPr>
          <w:rFonts w:hint="eastAsia" w:asciiTheme="minorEastAsia" w:hAnsiTheme="minorEastAsia" w:cstheme="minorEastAsia"/>
          <w:b/>
          <w:color w:val="auto"/>
          <w:sz w:val="56"/>
          <w:szCs w:val="40"/>
          <w:highlight w:val="none"/>
          <w:lang w:eastAsia="zh-CN"/>
        </w:rPr>
        <w:t>（</w:t>
      </w:r>
      <w:r>
        <w:rPr>
          <w:rFonts w:hint="eastAsia" w:asciiTheme="minorEastAsia" w:hAnsiTheme="minorEastAsia" w:cstheme="minorEastAsia"/>
          <w:b/>
          <w:color w:val="auto"/>
          <w:sz w:val="56"/>
          <w:szCs w:val="40"/>
          <w:highlight w:val="none"/>
          <w:lang w:val="en-US" w:eastAsia="zh-CN"/>
        </w:rPr>
        <w:t>预公告版</w:t>
      </w:r>
      <w:r>
        <w:rPr>
          <w:rFonts w:hint="eastAsia" w:asciiTheme="minorEastAsia" w:hAnsiTheme="minorEastAsia" w:cstheme="minorEastAsia"/>
          <w:b/>
          <w:color w:val="auto"/>
          <w:sz w:val="56"/>
          <w:szCs w:val="40"/>
          <w:highlight w:val="none"/>
          <w:lang w:eastAsia="zh-CN"/>
        </w:rPr>
        <w:t>）</w:t>
      </w:r>
    </w:p>
    <w:p>
      <w:pPr>
        <w:pStyle w:val="9"/>
        <w:jc w:val="center"/>
        <w:outlineLvl w:val="2"/>
        <w:rPr>
          <w:rFonts w:hint="eastAsia" w:asciiTheme="minorEastAsia" w:hAnsiTheme="minorEastAsia" w:eastAsiaTheme="minorEastAsia" w:cstheme="minorEastAsia"/>
          <w:b/>
          <w:color w:val="auto"/>
          <w:sz w:val="28"/>
          <w:highlight w:val="none"/>
        </w:rPr>
      </w:pP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项目名称：福建省立医院彩色多普勒超声诊断仪采购项目</w:t>
      </w:r>
    </w:p>
    <w:p>
      <w:pPr>
        <w:pStyle w:val="9"/>
        <w:jc w:val="center"/>
        <w:outlineLvl w:val="2"/>
        <w:rPr>
          <w:rFonts w:hint="eastAsia" w:asciiTheme="minorEastAsia" w:hAnsiTheme="minorEastAsia" w:eastAsiaTheme="minorEastAsia" w:cstheme="minorEastAsia"/>
          <w:b/>
          <w:color w:val="auto"/>
          <w:sz w:val="28"/>
          <w:highlight w:val="none"/>
        </w:rPr>
      </w:pP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备案编号：CGXM-2023-350001-19047[2023]15972</w:t>
      </w:r>
    </w:p>
    <w:p>
      <w:pPr>
        <w:pStyle w:val="9"/>
        <w:jc w:val="center"/>
        <w:outlineLvl w:val="2"/>
        <w:rPr>
          <w:rFonts w:hint="eastAsia" w:asciiTheme="minorEastAsia" w:hAnsiTheme="minorEastAsia" w:eastAsiaTheme="minorEastAsia" w:cstheme="minorEastAsia"/>
          <w:b/>
          <w:color w:val="auto"/>
          <w:sz w:val="28"/>
          <w:highlight w:val="none"/>
        </w:rPr>
      </w:pP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项目编号：[350001]FJKT[GK]2023066</w:t>
      </w:r>
    </w:p>
    <w:p>
      <w:pPr>
        <w:pStyle w:val="9"/>
        <w:jc w:val="center"/>
        <w:outlineLvl w:val="2"/>
        <w:rPr>
          <w:rFonts w:hint="eastAsia" w:asciiTheme="minorEastAsia" w:hAnsiTheme="minorEastAsia" w:eastAsiaTheme="minorEastAsia" w:cstheme="minorEastAsia"/>
          <w:b/>
          <w:color w:val="auto"/>
          <w:sz w:val="28"/>
          <w:highlight w:val="none"/>
        </w:rPr>
      </w:pP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采购人：福建省立医院</w:t>
      </w:r>
    </w:p>
    <w:p>
      <w:pPr>
        <w:pStyle w:val="9"/>
        <w:jc w:val="center"/>
        <w:outlineLvl w:val="2"/>
        <w:rPr>
          <w:rFonts w:hint="eastAsia" w:asciiTheme="minorEastAsia" w:hAnsiTheme="minorEastAsia" w:eastAsiaTheme="minorEastAsia" w:cstheme="minorEastAsia"/>
          <w:b/>
          <w:color w:val="auto"/>
          <w:sz w:val="28"/>
          <w:highlight w:val="none"/>
        </w:rPr>
      </w:pP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代理机构：福建康泰招标有限公司</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编制时间：2024年01月</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第一章 投标邀请</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福建康泰招标有限公司 采用公开招标方式组织 福建省立医院彩色多普勒超声诊断仪采购项目 （以下简称：“本项目”）的政府采购活动，现邀请供应商参加投标。</w:t>
      </w:r>
    </w:p>
    <w:p>
      <w:pPr>
        <w:pStyle w:val="9"/>
        <w:ind w:firstLine="480"/>
        <w:jc w:val="left"/>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1、备案编号：CGXM-2023-350001-19047[2023]15972</w:t>
      </w:r>
    </w:p>
    <w:p>
      <w:pPr>
        <w:pStyle w:val="9"/>
        <w:ind w:firstLine="480"/>
        <w:jc w:val="left"/>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2、项目编号：[350001]FJKT[GK]2023066</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3、预算金额、最高限价：详见《采购标的一览表》。</w:t>
      </w:r>
    </w:p>
    <w:p>
      <w:pPr>
        <w:pStyle w:val="9"/>
        <w:ind w:firstLine="480"/>
        <w:jc w:val="left"/>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4、招标内容及要求：详见《采购标的一览表》及招标文件第五章。</w:t>
      </w:r>
    </w:p>
    <w:p>
      <w:pPr>
        <w:pStyle w:val="9"/>
        <w:ind w:firstLine="480"/>
        <w:jc w:val="left"/>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5、需要落实的政府采购政策</w:t>
      </w:r>
    </w:p>
    <w:p>
      <w:pPr>
        <w:pStyle w:val="9"/>
        <w:ind w:firstLine="96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进口产品：进口产品，不适用于本项目</w:t>
      </w:r>
      <w:r>
        <w:rPr>
          <w:rFonts w:hint="eastAsia" w:asciiTheme="minorEastAsia" w:hAnsiTheme="minorEastAsia" w:cstheme="minorEastAsia"/>
          <w:color w:val="auto"/>
          <w:highlight w:val="none"/>
          <w:lang w:eastAsia="zh-CN"/>
        </w:rPr>
        <w:t>。</w:t>
      </w:r>
    </w:p>
    <w:p>
      <w:pPr>
        <w:pStyle w:val="9"/>
        <w:ind w:firstLine="96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节能产品：节能产品按本招标文件规定执行。</w:t>
      </w:r>
    </w:p>
    <w:p>
      <w:pPr>
        <w:pStyle w:val="9"/>
        <w:ind w:firstLine="96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环境标志产品：环境标志产品按本招标文件规定执行。</w:t>
      </w:r>
    </w:p>
    <w:p>
      <w:pPr>
        <w:pStyle w:val="9"/>
        <w:ind w:firstLine="96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促进中小企业发展的相关政策：</w:t>
      </w:r>
    </w:p>
    <w:p>
      <w:pPr>
        <w:pStyle w:val="9"/>
        <w:ind w:firstLine="96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采购包1：不专门面向中小企业采购</w:t>
      </w:r>
    </w:p>
    <w:p>
      <w:pPr>
        <w:pStyle w:val="9"/>
        <w:ind w:firstLine="1000" w:firstLineChars="5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采购包2：不专门面向中小企业采购</w:t>
      </w:r>
    </w:p>
    <w:p>
      <w:pPr>
        <w:pStyle w:val="9"/>
        <w:ind w:firstLine="1000" w:firstLineChars="5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采购包3：不专门面向中小企业采购</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6、投标人的资格要求</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6.1法定条件：符合政府采购法第二十二条第一款规定的条件。</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6.2特定条件：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资格审查要求概况</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关于【一般资格证明文件中“提供财务状况报告(财务报告、或资信证明）”】的补充说明</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针对“财务状况报告(财务报告、或资信证明）”①投标人提供的财务报告复印件（成立年限按照投标截止时间推算）应符合下列规定：a.成立年限满1年及以上的投标人，提供经审计的2022年或2023年的年度财务报告。本招标文件中若有与此处不一致的，以此处补充说明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招标文件规定的其他资格证明文件</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资格审查要求概况</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关于【一般资格证明文件中“提供财务状况报告(财务报告、或资信证明）”】的补充说明</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针对“财务状况报告(财务报告、或资信证明）”①投标人提供的财务报告复印件（成立年限按照投标截止时间推算）应符合下列规定：a.成立年限满1年及以上的投标人，提供经审计的2022年或2023年的年度财务报告。本招标文件中若有与此处不一致的，以此处补充说明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招标文件规定的其他资格证明文件</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资格审查要求概况</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关于【一般资格证明文件中“提供财务状况报告(财务报告、或资信证明）”】的补充说明</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针对“财务状况报告(财务报告、或资信证明）”①投标人提供的财务报告复印件（成立年限按照投标截止时间推算）应符合下列规定：a.成立年限满1年及以上的投标人，提供经审计的2022年或2023年的年度财务报告。本招标文件中若有与此处不一致的，以此处补充说明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招标文件规定的其他资格证明文件</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bl>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6.3是否接受联合体投标：</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采购包1：不接受</w:t>
      </w:r>
    </w:p>
    <w:p>
      <w:pPr>
        <w:pStyle w:val="9"/>
        <w:ind w:firstLine="1000" w:firstLineChars="5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采购包2：不接受</w:t>
      </w:r>
    </w:p>
    <w:p>
      <w:pPr>
        <w:pStyle w:val="9"/>
        <w:ind w:firstLine="1000" w:firstLineChars="5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采购包3：不接受</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※根据上述资格要求，电子投标文件中应提交的“投标人的资格及资信证明文件”详见招标文件第四章。</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7、招标文件的获取</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7.1、招标文件获取期限：详见招标公告或更正公告，若不一致，以更正公告为准。</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7.3、获取地点及方式：注册账号后，通过福建省政府采购网上公开信息系统以下载方式获取。</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7.4、招标文件售价：0元。</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8、投标截止</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8.1、投标截止时间：详见招标公告或更正公告，若不一致，以更正公告为准。</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8.2、投标人应在投标截止时间前按照福建省政府采购网上公开信息系统设定的操作流程将电子投标文件上传至福建省政府采购网上公开信息系统，否则投标将被拒绝。</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9、开标时间及地点</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详见招标公告或更正公告，若不一致，以更正公告为准。</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10、公告期限</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10.1、招标公告的公告期限：自财政部和福建省财政厅指定的政府采购信息发布媒体最先发布公告之日起5个工作日。</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10.2、招标文件公告期限：招标文件随同招标公告一并发布，其公告期限与招标公告的公告期限保持一致。</w:t>
      </w:r>
    </w:p>
    <w:p>
      <w:pPr>
        <w:pStyle w:val="9"/>
        <w:ind w:firstLine="480"/>
        <w:jc w:val="left"/>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11、采购人：福建省立医院</w:t>
      </w:r>
    </w:p>
    <w:p>
      <w:pPr>
        <w:pStyle w:val="9"/>
        <w:ind w:firstLine="96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地址： 福建省福州市鼓楼区东街134号</w:t>
      </w:r>
    </w:p>
    <w:p>
      <w:pPr>
        <w:pStyle w:val="9"/>
        <w:ind w:firstLine="800" w:firstLineChars="4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邮编： 350001</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联系人： 胡工</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联系电话： 0591-88216078</w:t>
      </w:r>
    </w:p>
    <w:p>
      <w:pPr>
        <w:pStyle w:val="9"/>
        <w:ind w:firstLine="480"/>
        <w:jc w:val="left"/>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12、代理机构：福建康泰招标有限公司</w:t>
      </w:r>
    </w:p>
    <w:p>
      <w:pPr>
        <w:pStyle w:val="9"/>
        <w:ind w:firstLine="96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地址： 福建省福州市鼓楼区湖东路169号中闽天骜大厦第十三层02A单元</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邮编： 350001</w:t>
      </w:r>
    </w:p>
    <w:p>
      <w:pPr>
        <w:pStyle w:val="9"/>
        <w:ind w:firstLine="800" w:firstLineChars="4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联系人： 樊淑贞、陈东英</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联系电话： 0591-87803505</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投标保证金账户</w:t>
            </w:r>
          </w:p>
          <w:p>
            <w:pPr>
              <w:pStyle w:val="9"/>
              <w:jc w:val="left"/>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开户名称： 福建康泰招标有限公司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1、投标人应认真核对账户信息，将投标保证金汇入以上账户，并自行承担因汇错投标保证金而产生的一切后果。</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2、投标人在转账或电汇的凭证上应按照以下格式注明，以便核对：“（项目编号：***）的投标保证金”。</w:t>
            </w:r>
          </w:p>
        </w:tc>
      </w:tr>
    </w:tbl>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附2：采购标的一览表</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采购包预算金额（元）</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2,000,000.00</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采购包最高限价（元）</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2,000,000.00</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采购包保证金金额（元）</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20,000.00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标的名称</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标的金额 （元）</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计量单位</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所属行业</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彩色多普勒超声诊断仪</w:t>
            </w:r>
          </w:p>
        </w:tc>
        <w:tc>
          <w:tcPr>
            <w:tcW w:w="1187" w:type="dxa"/>
          </w:tcPr>
          <w:p>
            <w:pPr>
              <w:pStyle w:val="9"/>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w:t>
            </w:r>
          </w:p>
        </w:tc>
        <w:tc>
          <w:tcPr>
            <w:tcW w:w="1187" w:type="dxa"/>
          </w:tcPr>
          <w:p>
            <w:pPr>
              <w:pStyle w:val="9"/>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2,000,000.00</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套</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工业</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否</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采购包预算金额（元）</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2,000,000.00</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采购包最高限价（元）</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2,000,000.00</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采购包保证金金额（元）</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20,000.00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标的名称</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标的金额 （元）</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计量单位</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所属行业</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彩色多普勒超声诊断仪</w:t>
            </w:r>
          </w:p>
        </w:tc>
        <w:tc>
          <w:tcPr>
            <w:tcW w:w="1187" w:type="dxa"/>
          </w:tcPr>
          <w:p>
            <w:pPr>
              <w:pStyle w:val="9"/>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w:t>
            </w:r>
          </w:p>
        </w:tc>
        <w:tc>
          <w:tcPr>
            <w:tcW w:w="1187" w:type="dxa"/>
          </w:tcPr>
          <w:p>
            <w:pPr>
              <w:pStyle w:val="9"/>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2,000,000.00</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套</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工业</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否</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采购包预算金额（元）</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2,500,000.00</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采购包最高限价（元）</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2,</w:t>
      </w:r>
      <w:r>
        <w:rPr>
          <w:rFonts w:hint="eastAsia" w:asciiTheme="minorEastAsia" w:hAnsi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00,000.00</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采购包保证金金额（元）</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 25,000.00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标的名称</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标的金额 （元）</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计量单位</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所属行业</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彩色多普勒超声诊断仪</w:t>
            </w:r>
          </w:p>
        </w:tc>
        <w:tc>
          <w:tcPr>
            <w:tcW w:w="1187" w:type="dxa"/>
          </w:tcPr>
          <w:p>
            <w:pPr>
              <w:pStyle w:val="9"/>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w:t>
            </w:r>
          </w:p>
        </w:tc>
        <w:tc>
          <w:tcPr>
            <w:tcW w:w="1187" w:type="dxa"/>
          </w:tcPr>
          <w:p>
            <w:pPr>
              <w:pStyle w:val="9"/>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2,500,000.00</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套</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工业</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否</w:t>
            </w:r>
          </w:p>
        </w:tc>
      </w:tr>
    </w:tbl>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第二章 投标人须知前附表</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0"/>
        <w:gridCol w:w="1250"/>
        <w:gridCol w:w="6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（第三章）</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是否组织现场考察或召开开标前答疑会：</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采购包1：不组织</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采购包2：不组织</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10.4</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投标文件的份数：</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（1）可读介质（光盘或U盘） 0 份：投标人应将其上传至福建省政府采购网上公开信息系统的电子投标文件在该可读介质中另存 0 份。</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10.7-（1）</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是否允许中标人将本项目的非主体、非关键性工作进行分包：</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采购包1：不允许合同分包；</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采购包2：不允许合同分包；</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10.8-（1）</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确定中标候选人名单：</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采购包1：1名</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采购包2：1名</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本项目中标人的确定（以采购包为单位）：</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 采购人应在政府采购招投标管理办法规定的时限内确定中标人。</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（2）若出现中标候选人并列情形，则按照下列方式确定中标人：</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①招标文件规定的方式：</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②若本款第①点规定方式为“无”，则按照下列方式确定：</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③若本款第①、②点规定方式均为“无”，则按照下列方式确定：随机抽取。</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（3）本项目确定的中标人家数：</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采购包1：1名</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采购包2：1名</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15.1-（2）</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15.4</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招标文件的质疑</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（1）潜在投标人可在质疑时效期间内对招标文件以书面形式提出质疑。</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（2）质疑时效期间：应在依法获取招标文件之日起7个工作日内向 福建康泰招标有限公司 提出，依法获取招标文件的时间以福建省政府采购网上公开信息系统记载的为准。</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18.1</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财政部和福建省财政厅指定的政府采购信息发布媒体（以下简称：“指定媒体”）：</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（1）中国政府采购网，网址www.ccgp.gov.cn。</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（2）中国政府采购网福建分网（福建省政府采购网），网址zfcg.czt.fujian.gov.cn。</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w:t>
            </w:r>
          </w:p>
        </w:tc>
        <w:tc>
          <w:tcPr>
            <w:tcW w:w="125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其他事项：</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(1)本项目代理服务费：</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本项目收取代理服务费</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代理服务费用收取对象：中标/成交供应商</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代理服务费收费标准：本项目代理服务费由各采购包中标人支付。代理服务费以中标价为基数进行计算，100万元以下的部分按1.5%收取，100万元-500万元（含）部分按1.1%收取，服务费按差额定率累进法整体下浮30%计算。中标人应在领取中标通知书前以转账、电汇付款方式一次性向采购代理机构缴纳代理服务费。服务费缴纳账户信息：开户名：福建康泰招标有限公司，开户行：中信银行福州江滨路支行,账号：7612110182600018475。</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(2)其他：</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环节的解密时限规定为30分钟，远程签章环节的签章时限规定为10分钟，请投标人务必密切关注实时开标流程，并根据流程在系统内按时操作，否则产生的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0" w:type="dxa"/>
            <w:gridSpan w:val="2"/>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c>
          <w:tcPr>
            <w:tcW w:w="637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后有投标人须知前附表2，请勿遗漏。</w:t>
            </w:r>
          </w:p>
        </w:tc>
      </w:tr>
    </w:tbl>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0"/>
        <w:gridCol w:w="75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757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757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（1）电子招标投标活动的专门规定适用本项目电子招标投标活动。</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（2）将招标文件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 的内容修正为下列内容：</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 后适用本项目的电子招标投标活动。</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（3）将下列内容增列为招标文件的组成部分（以下简称：“增列内容”）适用本项目的电子招标投标活动，若增列内容与招标文件其他章节内容有冲突，应以增列内容为准：</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①电子招标投标活动的具体操作流程以福建省政府采购网上公开信息系统设定的为准。</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②关于电子投标文件：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a.投标人应按照福建省政府采购网上公开信息系统设定的评审节点编制电子投标文件，否则资格审查小组、评标委员会将按照不利于投标人的内容进行认定。</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③关于证明材料或资料：</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④关于“全称”、“投标人代表签字”及“加盖单位公章”：</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a.在电子投标文件中，涉及“全称”和“投标人代表签字”的内容可使用打字录入方式完成。</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b.在电子投标文件中，涉及“加盖单位公章”的内容应使用投标人的CA证书完成，否则投标无效。</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c.在电子投标文件中，若投标人按照本增列内容第④点第b项规定加盖其单位公章，则出现无全称、或投标人代表未签字等情形，不视为投标无效。</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⑤关于投标人的CA证书：</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a.投标人的CA证书应在系统规定时间内使用CA证书进行电子投标文件的解密操作，逾期未解密的视为放弃投标。</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b.投标人的CA证书可采用信封（包括但不限于：信封、档案袋、文件袋等）作为外包装进行单独包装。外包装密封、不密封皆可。</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c.投标人的CA证书或外包装应标记“项目名称、项目编号、投标人的全称”等内容，以方便识别、使用。</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d.投标人的CA证书应能正常、有效使用，否则产生不利后果由投标人承担责任。</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⑥关于投标截止时间过后</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a.未按招标文件规定提交投标保证金的，其投标将按无效投标处理。</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b.有下列情形之一的，其投标无效,其保证金不予退还或通过投标保函进行索赔：</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b1不同投标人的电子投标文件具有相同内部识别码；</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b2不同投标人的投标保证金从同一单位或个人的账户转出；</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b3投标人的投标保证金同一采购包下有其他投标人提交的投标保证金；</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b4不同投标人存在串通投标的其他情形。</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⑧其他：</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tc>
      </w:tr>
    </w:tbl>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第三章 投标人须知</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一、总则</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1、适用范围</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1.1适用于招标文件载明项目的政府采购活动（以下简称：“本次采购活动”）。</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2、定义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2.1“采购标的”指招标文件载明的需要采购的货物或服务。</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2.2“潜在投标人”指按照招标文件第一章第7条规定获取招标文件且有意向参加本项目投标的供应商。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2.3“投标人”指按照招标文件第一章第7条规定获取招标文件并参加本项目投标的供应商。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2.4“单位负责人”指单位法定代表人或法律、法规规定代表单位行使职权的主要负责人。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2.5“投标人代表”指投标人的单位负责人或“单位负责人授权书”中载明的接受授权方。</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二、投标人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3、合格投标人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3.1一般规定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（2）投标人的资格要求：详见招标文件第一章。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3.2若本项目接受联合体投标且投标人为联合体，则联合体各方应遵守本章第3.1条规定，同时还应遵守下列规定：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（1）联合体各方应提交联合体协议，联合体协议应符合招标文件规定。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（2）联合体各方不得再单独参加或与其他供应商另外组成联合体参加同一合同项下的投标。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（3）联合体各方应共同与采购人签订政府采购合同，就政府采购合同约定的事项对采购人承担连带责任。</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（5）联合体一方放弃中标的，视为联合体整体放弃中标，联合体各方承担连带责任。</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（6）如本项目不接受联合体投标而投标人为联合体的，或者本项目接受联合体投标但投标人组成的联合体不符合本章第3.2条规定的，投标无效。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4、投标费用</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4.1除招标文件另有规定外，投标人应自行承担其参加本项目投标所涉及的一切费用。</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三、招标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5、招标文件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5.1招标文件由下述部分组成：</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（1）投标邀请</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（2）投标人须知前附表（表1、2）</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（3）投标人须知</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（4）资格审查与评标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（5）招标内容及要求</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（6）政府采购合同（参考文本）</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（7）电子投标文件格式</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（8）按照招标文件规定作为招标文件组成部分的其他内容（若有）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5.2招标文件的澄清或修改</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福建康泰招标有限公司 可对已发出的招标文件进行必要的澄清或修改，但不得对招标文件载明的采购标的和投标人的资格要求进行改变。</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（2）除本章第5.2条第（3）款规定情形外，澄清或修改的内容可能影响电子投标文件编制的， 福建康泰招标有限公司 将在投标截止时间至少15个日历日前，在招标文件载明的指定媒体以更正公告的形式发布澄清或修改的内容。不足15个日历日的， 福建康泰招标有限公司 将顺延投标截止时间及开标时间， 福建康泰招标有限公司 和投标人受原投标截止时间及开标时间制约的所有权利和义务均延长至新的投标截止时间及开标时间。</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（3）澄清或修改的内容可能改变招标文件载明的采购标的和投标人的资格要求的，本次采购活动结束， 福建康泰招标有限公司 将依法组织后续采购活动（包括但不限于：重新招标、采用其他方式采购等）。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6、现场考察或开标前答疑会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6.1是否组织现场考察或召开开标前答疑会：详见招标文件第二章。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7、更正公告</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7.1若 福建康泰招标有限公司 发布更正公告，则更正公告及其所发布的内容或信息（包括但不限于：招标文件的澄清或修改、现场考察或答疑会的有关事宜等）作为招标文件组成部分，对投标人具有约束力。</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7.2更正公告作为 福建康泰招标有限公司 通知所有潜在投标人的书面形式。</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8、终止公告</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8.1若出现因重大变故导致采购任务取消情形， 福建康泰招标有限公司 可终止招标并发布终止公告。</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8.2终止公告作为 福建康泰招标有限公司 通知所有潜在投标人的书面形式。</w:t>
      </w:r>
    </w:p>
    <w:p>
      <w:pPr>
        <w:pStyle w:val="9"/>
        <w:ind w:firstLine="480"/>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四、投标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9、投标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9.1投标人可对招标文件载明的全部或部分采购包进行投标。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9.2投标人应对同一个采购包内的所有内容进行完整投标，否则投标无效。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9.3投标人代表只能接受一个投标人的授权参加投标，否则投标无效。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9.4单位负责人为同一人或存在直接控股、管理关系的不同供应商，不得同时参加同一合同项下的投标，否则投标无效。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9.5为本项目提供整体设计、规范编制或项目管理、监理、检测等服务的供应商，不得参加本项目除整体设计、规范编制和项目管理、监理、检测等服务外的采购活动，否则投标无效。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9.6列入失信被执行人、重大税收违法案件当事人名单、政府采购严重违法失信行为记录名单及其他不符合政府采购法第二十二条规定条件的供应商，不得参加投标，否则投标无效。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9.7有下列情形之一的，视为投标人串通投标，其投标无效：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（1）不同投标人的电子投标文件由同一单位或个人编制；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（2）不同投标人委托同一单位或个人办理投标事宜；</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（3）不同投标人的电子投标文件载明的项目管理成员或联系人员为同一人；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（4）不同投标人的电子投标文件异常一致或投标报价呈规律性差异；</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（5）不同投标人的电子投标文件相互混装；</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（6）不同投标人的投标保证金从同一单位或个人的账户转出；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（7）有关法律、法规和规章及招标文件规定的其他串通投标情形。</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10、电子投标文件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10.1电子投标文件的编制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（1）投标人应先仔细阅读招标文件的全部内容后，再进行电子投标文件的编制。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（2）电子投标文件应按照本章第10.2条规定编制其组成部分。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10.2电子投标文件由下述部分组成：</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（1）资格及资信证明部分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①投标函</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②投标人的资格及资信证明文件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③投标保证金</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（2）报价部分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①开标一览表</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②投标分项报价表</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③招标文件规定的价格扣除证明材料（若有）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④招标文件规定的加分证明材料（若有）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（3）技术商务部分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①标的说明一览表</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②技术和服务要求响应表</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③商务条件响应表</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④投标人提交的其他资料（若有）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⑤招标文件规定作为电子投标文件组成部分的其他内容（若有）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10.3电子投标文件的语言</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（1）除招标文件另有规定外，电子投标文件应使用中文文本，若有不同文本，以中文文本为准。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10.4投标文件的份数：详见招标文件第二章。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10.5电子投标文件的格式</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（1）除招标文件另有规定外，电子投标文件应使用招标文件第七章规定的格式。</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（2）除招标文件另有规定外，电子投标文件应使用不能擦去的墨料或墨水打印、书写或复印。</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（3）除招标文件另有规定外，电子投标文件应使用人民币作为计量货币。</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（4）除招标文件另有规定外，签署、盖章应遵守下列规定：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①电子投标文件应加盖投标人的单位公章。若投标人代表为单位授权的委托代理人，应提供“单位授权书”。</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②电子投标文件应没有涂改或行间插字，除非这些改动是根据 福建康泰招标有限公司 的指示进行的，或是为改正投标人造成的应修改的错误而进行的。若有前述改动，应按照下列规定之一对改动处进行处理：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a.投标人代表签字确认；</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b.加盖投标人的单位公章或校正章。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10.6投标报价</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（1）投标报价超出最高限价将导致投标无效。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（2）最高限价由采购人根据价格测算情况，在预算金额的额度内合理设定。最高限价不得超出预算金额。</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（3）除招标文件另有规定外，电子投标文件不能出现任何选择性的投标报价，即每一个采购包和品目号的采购标的都只能有一个投标报价。任何选择性的投标报价将导致投标无效。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10.7分包</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（1）是否允许中标人将本项目的非主体、非关键性工作进行分包：详见招标文件第二章。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（3）招标文件允许中标人将非主体、非关键性工作进行分包的项目，有下列情形之一的，中标人不得分包：</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①电子投标文件中未载明分包承担主体；</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②电子投标文件载明的分包承担主体不具备相应资质条件；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③电子投标文件载明的分包承担主体拟再次分包；</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④享受中小企业扶持政策获得政府采购合同的，小微企业不得将合同分包给大中型企业，中型企业不得将合同分包给大型企业。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10.8投标有效期</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（1）招标文件载明的投标有效期：详见招标文件第二章。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（2）电子投标文件承诺的投标有效期不得少于招标文件载明的投标有效期，否则投标无效。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（3）根据本次采购活动的需要， 福建康泰招标有限公司 可于投标有效期届满之前书面要求投标人延长投标有效期，投标人应在 福建康泰招标有限公司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10.9投标保证金</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（1）投标保证金作为投标人按照招标文件规定履行相应投标责任、义务的约束及担保。</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（2）投标人以电子保函形式提交投标保证金的，保函的有效期应等于或长于电子投标文件承诺的投标有效期，否则投标无效。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（3）提交</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③其他形式：</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④若本项目接受联合体投标且投标人为联合体，则联合体中的牵头方应按照本章第10.9条第（3）款第①、②、③点规定提交投标保证金。</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※除招标文件另有规定外，未按照上述规定提交投标保证金将导致资格审查不合格。</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（4）退还</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①在投标截止时间前撤回已提交的电子投标文件的投标人，其投标保证金将在 福建康泰招标有限公司 收到投标人书面撤回通知之日起5个工作日内退回原账户。</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②未中标人的投标保证金将在中标通知书发出之日起5个工作日内退回原账户。</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③中标人的投标保证金将在政府采购合同签订之日起5个工作日内退回原账户；合同签订之日以福建省政府采购网上公开信息系统记载的为准。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④终止招标的， 福建康泰招标有限公司 将在终止公告发布之日起5个工作日内退回已收取的投标保证金及其在银行产生的孳息。</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⑤除招标文件另有规定外，质疑或投诉涉及的投标人，若投标保证金尚未退还，则待质疑或投诉处理完毕后不计利息原额退还。</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※本章第10.9条第（4）款第①、②、③点规定的投标保证金退还时限不包括因投标人自身原因导致无法及时退还而增加的时间。</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（6）有下列情形之一的，投标保证金将不予退还或通过投标保函进行索赔：</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①投标人串通投标；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②投标人提供虚假材料；</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③投标人采取不正当手段诋毁、排挤其他投标人；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④投标截止时间后，投标人在投标有效期内撤销电子投标文件；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⑤招标文件规定的其他不予退还情形；</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⑥中标人有下列情形之一的：</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a.除不可抗力外，因中标人自身原因未在中标通知书要求的期限内与采购人签订政府采购合同；</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b.未按照招标文件、投标文件的约定签订政府采购合同或提交履约保证金。</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※若上述投标保证金不予退还情形给采购人（采购代理机构）造成损失，则投标人还要承担相应的赔偿责任。</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10.10电子投标文件的提交</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（1）一个投标人只能提交一个电子投标文件，并按照招标文件第一章规定在系统上完成上传、解密操作。</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10.11电子投标文件的补充、修改或撤回</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（1）投标截止时间前，投标人可对所提交的电子投标文件进行补充、修改或撤回，并书面通知 福建康泰招标有限公司 。</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（2）补充、修改的内容应按照本章第10.5条第（4）款规定进行签署、盖章，并按照本章第10.10条规定提交，否则将被拒收。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※按照上述规定提交的补充、修改内容作为电子投标文件组成部分。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10.12除招标文件另有规定外，有下列情形之一的，投标无效：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（1）电子投标文件未按照招标文件要求签署、盖章；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（2）不符合招标文件中规定的资格要求；</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（3）投标报价超过招标文件中规定的预算金额或最高限价；</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（4）电子投标文件含有采购人不能接受的附加条件；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（5）有关法律、法规和规章及招标文件规定的其他无效情形。</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五、开标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11、开标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 福建康泰招标有限公司 将在招标文件载明的开标时间及地点主持召开开标会，并邀请投标人参加。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11.2开标会的主持人、唱标人、记录人及其他工作人员（若有）均由 福建康泰招标有限公司 派出，现场监督人员（若有）可由有关方面派出。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11.4开标会应遵守下列规定：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（5）若投标人未到开标现场参加开标会，也未通过远程参加开标会的，视同认可开标结果。</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福建康泰招标有限公司 提出任何疑义或要求（包括质疑）。</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11.5投标截止时间后，参加投标的投标人不足三家的，不进行开标。同时，本次采购活动结束， 福建康泰招标有限公司 将依法组织后续采购活动（包括但不限于：重新招标、采用其他方式采购等）。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11.6投标截止时间后撤销投标的处理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投标截止时间后，投标人在投标有效期内撤销投标的，其撤销投标的行为无效。</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六、中标与政府采购合同</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12、中标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12.1本项目推荐的中标候选人家数：详见招标文件第二章。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12.2本项目中标人的确定：详见招标文件第二章。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12.3中标公告</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（1）中标人确定之日起2个工作日内， 福建康泰招标有限公司 将在招标文件载明的指定媒体以中标公告的形式发布中标结果。</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（2）中标公告的公告期限为1个工作日。</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12.4中标通知书</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（1）中标公告发布的同时， 福建康泰招标有限公司 将向中标人发出中标通知书。</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（2）中标通知书发出后，采购人不得违法改变中标结果，中标人无正当理由不得放弃中标。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13、政府采购合同</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13.2签订时限：详见须知前附表1的13.2。</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13.3政府采购合同的履行、违约责任和解决争议的方法等适用民法典。</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13.4采购人与中标人应根据政府采购合同的约定依法履行合同义务。</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13.5政府采购合同履行过程中，采购人若需追加与合同标的相同的货物或服务，则追加采购金额不得超过原合同采购金额的10%。</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13.6中标人在政府采购合同履行过程中应遵守有关法律、法规和规章的强制性规定（即使前述强制性规定有可能在招标文件中未予列明）。</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七、询问、质疑与投诉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14、询问</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14.1潜在投标人或投标人对本次采购活动的有关事项若有疑问，可向 福建康泰招标有限公司 提出询问， 福建康泰招标有限公司 将按照政府采购法及实施条例的有关规定进行答复。</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15、质疑</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（2）质疑人应按照招标文件第二章规定方式提交质疑函。</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（3）质疑函应包括下列主要内容：</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①质疑人的基本信息，至少包括：全称、地址、邮政编码等；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②所质疑项目的基本信息，至少包括：项目编号、项目名称等；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③所质疑的具体事项（以下简称：“质疑事项”）；</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④针对质疑事项提出的明确请求，前述明确请求指质疑人提出质疑的目的以及希望 福建康泰招标有限公司 对其质疑作出的处理结果，如：暂停招标投标活动、修改招标文件、停止或纠正违法违规行为、中标结果无效、废标、重新招标等；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⑤针对质疑事项导致质疑人自身权益受到损害的必要证明材料，至少包括：</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a.质疑人代表的身份证明材料：</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a2若本项目接受自然人投标且质疑人为自然人的，提供本人的身份证复印件。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b.其他证明材料（即事实依据和必要的法律依据）包括但不限于下列材料：</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b1所质疑的具体事项是与自己有利害关系的证明材料；</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b2质疑函所述事实存在的证明材料，如：采购文件、采购过程或中标结果违法违规或不符合采购文件要求等证明材料；</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b3依法应终止采购程序的证明材料；</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b4应重新采购的证明材料；</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b5采购文件、采购过程或中标、成交结果损害自己合法权益的证明材料等；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⑥质疑人代表及其联系方法的信息，至少包括：姓名、手机、电子信箱、邮寄地址等。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⑦提出质疑的日期。</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※质疑人为法人或其他组织的，质疑函应由单位负责人或委托代理人签字或盖章，并加盖投标人的单位公章。质疑人为自然人的，质疑函应由本人签字。</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15.2对不符合本章第15.1条规定的质疑，将按照下列规定进行处理：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（1）不符合其中第（1）、（2）条规定的，书面告知质疑人不予受理及其理由。</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（2）不符合其中第（3）条规定的，书面告知质疑人修改、补充后在规定时限内重新提交质疑函。</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15.3对符合本章第15.1条规定的质疑，将按照政府采购法及实施条例、政府采购质疑和投诉办法的有关规定进行答复。</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15.4招标文件的质疑：详见招标文件第二章。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16、投诉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16.2投诉应有明确的请求和必要的证明材料，投诉的事项不得超出已质疑事项的范围。</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八、政府采购政策</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17、政府采购政策由财政部根据国家的经济和社会发展政策并会同国家有关部委制定，包括但不限于下列具体政策要求：</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17.1进口产品指通过中国海关报关验放进入中国境内且产自关境外的产品，其中：</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（2）凡在海关特殊监管区域内企业生产或加工（包括从境外进口料件）销往境内其他地区的产品，不作为政府采购项下进口产品。</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（3）对从境外进入海关特殊监管区域，再经办理报关手续后从海关特殊监管区进入境内其他地区的产品，认定为进口产品。</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（4）招标文件列明不允许或未列明允许进口产品参加投标的，均视为拒绝进口产品参加投标。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（1）中小企业指符合下列条件的中型、小型、微型企业：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②符合中小企业划分标准的个体工商户，在政府采购活动中视同中小企业。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（2）在政府采购活动中，供应商提供的货物、工程或者服务符合下列情形的，享受本办法规定的中小企业扶持政策：</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①在货物采购项目中，货物由中小企业制造，即货物由中小企业生产且使用该中小企业商号或者注册商标；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②在工程采购项目中，工程由中小企业承建，即工程施工单位为中小企业；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③在服务采购项目中，服务由中小企业承接，即提供服务的人员为中小企业依照《中华人民共和国劳动合同法》订立劳动合同的从业人员。</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在货物采购项目中，供应商提供的货物既有中小企业制造货物，也有大型企业制造货物的，不享受本办法规定的中小企业扶持政策。</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以联合体形式参加政府采购活动，联合体各方均为中小企业的，联合体视同中小企业。其中，联合体各方均为小微企业的，联合体视同小微企业。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（3）投标人应当按照招标文件明确的采购标的对应行业的划分标准出具中小企业声明函。</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①监狱企业参加采购活动时，应提供由省级以上监狱管理局、戒毒管理局（含新疆生产建设兵团）出具的属于监狱企业的证明文件。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②监狱企业视同小型、微型企业。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（5）残疾人福利性单位指同时符合下列条件的单位：</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①安置的残疾人占本单位在职职工人数的比例不低于25%（含25%），并且安置的残疾人人数不少于10人（含10人）；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②依法与安置的每位残疾人签订了一年以上（含一年）的劳动合同或服务协议；</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③为安置的每位残疾人按月足额缴纳了基本养老保险、基本医疗保险、失业保险、工伤保险和生育保险等社会保险费；</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④通过银行等金融机构向安置的每位残疾人，按月支付了不低于单位所在区县适用的经省级人民政府批准的月最低工资标准的工资；</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⑤提供本单位制造的货物、承担的工程或服务，或提供其他残疾人福利性单位制造的货物（不包括使用非残疾人福利性单位注册商标的货物）。</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17.4信用记录指由财政部确定的有关网站提供的相关主体信用信息。信用记录的查询及使用应符合财政部文件（财库[2016]125号）规定。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17.5为落实政府采购政策需满足的要求：详见招标文件第一章。</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九、本项目的有关信息</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18.1指定媒体：详见招标文件第二章。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18.2本项目的潜在投标人或投标人应随时关注指定媒体，否则产生不利后果由其自行承担。</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十、其他事项</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19、其他事项：</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19.2其他：详见招标文件第二章。</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第四章 资格审查与评标</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一、资格审查</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1、开标结束后，由 福建康泰招标有限公司 负责资格审查小组的组建及资格审查工作的组织。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1.1资格审查小组</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资格审查小组由3人组成，并负责具体审查事务，其中由采购人派出的采购人代表至少1人，由福建康泰招标有限公司派出的工作人员至少1人，其余1人可为采购人代表或福建康泰招标有限公司的工作人员。</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1.2资格审查的依据是招标文件和电子投标文件。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1.3资格审查的范围及内容：电子投标文件（资格及资信证明部分），具体如下：</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（1）“投标函”；</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（2）“投标人的资格及资信证明文件”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①一般资格证明文件：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99"/>
        <w:gridCol w:w="54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序号</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资格审查要求概况</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单位授权书</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营业执照等证明文件</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提供财务状况报告(财务报告、或资信证明）</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依法缴纳税收证明材料</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依法缴纳社会保障资金证明材料</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具备履行合同所必需设备和专业技术能力的声明函(若有)</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参加采购活动前三年内在经营活动中没有重大违法记录的声明</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信用记录查询结果</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中小企业声明函（以资格条件落实中小企业扶持政策时适用 ）</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联合体协议（若有）</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99"/>
        <w:gridCol w:w="54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序号</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资格审查要求概况</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单位授权书</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营业执照等证明文件</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提供财务状况报告(财务报告、或资信证明）</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依法缴纳税收证明材料</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依法缴纳社会保障资金证明材料</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具备履行合同所必需设备和专业技术能力的声明函(若有)</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参加采购活动前三年内在经营活动中没有重大违法记录的声明</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信用记录查询结果</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中小企业声明函（以资格条件落实中小企业扶持政策时适用 ）</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联合体协议（若有）</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99"/>
        <w:gridCol w:w="54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序号</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资格审查要求概况</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单位授权书</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营业执照等证明文件</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提供财务状况报告(财务报告、或资信证明）</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依法缴纳税收证明材料</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依法缴纳社会保障资金证明材料</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具备履行合同所必需设备和专业技术能力的声明函(若有)</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参加采购活动前三年内在经营活动中没有重大违法记录的声明</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信用记录查询结果</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中小企业声明函（以资格条件落实中小企业扶持政策时适用 ）</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p>
        </w:tc>
        <w:tc>
          <w:tcPr>
            <w:tcW w:w="1999"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联合体协议（若有）</w:t>
            </w:r>
          </w:p>
        </w:tc>
        <w:tc>
          <w:tcPr>
            <w:tcW w:w="54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※备注说明</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①投标人应根据自身实际情况提供上述资格要求的证明材料，格式可参考招标文件第七章提供。</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②投标人提供的相应证明材料复印件均应符合：内容完整、清晰、整洁，并由投标人加盖其单位公章。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②.其他资格证明文件：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资格审查要求概况</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关于【一般资格证明文件中“提供财务状况报告(财务报告、或资信证明）”】的补充说明</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针对“财务状况报告(财务报告、或资信证明）”①投标人提供的财务报告复印件（成立年限按照投标截止时间推算）应符合下列规定：a.成立年限满1年及以上的投标人，提供经审计的2022年或2023年的年度财务报告。本招标文件中若有与此处不一致的，以此处补充说明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招标文件规定的其他资格证明文件</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资格审查要求概况</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关于【一般资格证明文件中“提供财务状况报告(财务报告、或资信证明）”】的补充说明</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针对“财务状况报告(财务报告、或资信证明）”①投标人提供的财务报告复印件（成立年限按照投标截止时间推算）应符合下列规定：a.成立年限满1年及以上的投标人，提供经审计的2022年或2023年的年度财务报告。本招标文件中若有与此处不一致的，以此处补充说明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招标文件规定的其他资格证明文件</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资格审查要求概况</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关于【一般资格证明文件中“提供财务状况报告(财务报告、或资信证明）”】的补充说明</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针对“财务状况报告(财务报告、或资信证明）”①投标人提供的财务报告复印件（成立年限按照投标截止时间推算）应符合下列规定：a.成立年限满1年及以上的投标人，提供经审计的2022年或2023年的年度财务报告。本招标文件中若有与此处不一致的，以此处补充说明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招标文件规定的其他资格证明文件</w:t>
            </w:r>
          </w:p>
        </w:tc>
        <w:tc>
          <w:tcPr>
            <w:tcW w:w="4614"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bl>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（3）投标保证金。</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未按照招标文件规定提交投标保证金</w:t>
            </w:r>
          </w:p>
        </w:tc>
      </w:tr>
    </w:tbl>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5"/>
        <w:gridCol w:w="65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情形</w:t>
            </w:r>
          </w:p>
        </w:tc>
        <w:tc>
          <w:tcPr>
            <w:tcW w:w="655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其他情形</w:t>
            </w:r>
          </w:p>
        </w:tc>
        <w:tc>
          <w:tcPr>
            <w:tcW w:w="655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资格及资信证明部分中不得出现报价部分的全部或部分的投标报价信息（或组成资料），否则资格审查不合格。</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3"/>
        <w:gridCol w:w="65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情形</w:t>
            </w:r>
          </w:p>
        </w:tc>
        <w:tc>
          <w:tcPr>
            <w:tcW w:w="651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其他情形</w:t>
            </w:r>
          </w:p>
        </w:tc>
        <w:tc>
          <w:tcPr>
            <w:tcW w:w="651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资格及资信证明部分中不得出现报价部分的全部或部分的投标报价信息（或组成资料），否则资格审查不合格。</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0"/>
        <w:gridCol w:w="65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情形</w:t>
            </w:r>
          </w:p>
        </w:tc>
        <w:tc>
          <w:tcPr>
            <w:tcW w:w="652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其他情形</w:t>
            </w:r>
          </w:p>
        </w:tc>
        <w:tc>
          <w:tcPr>
            <w:tcW w:w="652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资格及资信证明部分中不得出现报价部分的全部或部分的投标报价信息（或组成资料），否则资格审查不合格。</w:t>
            </w:r>
          </w:p>
        </w:tc>
      </w:tr>
    </w:tbl>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2、资格审查情况不得私自外泄，有关信息由 福建康泰招标有限公司 统一对外发布。</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3、资格审查合格的投标人不足三家的，不进行评标。同时，本次采购活动结束， 福建康泰招标有限公司 将依法组织后续采购活动（包括但不限于：重新招标、采用其他方式采购等）。</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二、评标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4、资格审查结束后，由 福建康泰招标有限公司 负责评标委员会的组建及评标工作的组织。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5、评标委员会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由采购人代表和评审专家两部分共5人组成，其中由福建省政府采购评审专家库产生的评审专家4人，由采购人派出的采购人代表1人。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5.2评标委员会负责具体评标事务，并按照下列原则依法独立履行有关职责：</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（1）评标应保护国家利益、社会公共利益和各方当事人合法权益，提高采购效益，保证项目质量。</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（2）评标应遵循公平、公正、科学、严谨和择优原则。</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（3）评标的依据是招标文件和电子投标文件。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（4）应按照招标文件规定推荐中标候选人或确定中标人。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（5）评标应遵守下列评标纪律：</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①评标情况不得私自外泄，有关信息由 福建康泰招标有限公司 统一对外发布。</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②对 福建康泰招标有限公司 或投标人提供的要求保密的资料，不得摘记翻印和外传。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③不得收受投标人或有关人员的任何礼物，不得串联鼓动其他人袒护某投标人。若与投标人存在利害关系，则应主动声明并回避。</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④全体评委应按照招标文件规定进行评标，一切认定事项应查有实据且不得弄虚作假。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⑤评标中应充分发扬民主，推荐中标候选人或确定中标人后要服从评标报告。</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※对违反评标纪律的评委，将取消其评委资格，对评标工作造成严重损失者将予以通报批评乃至追究法律责任。</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6、评标程序</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6.1评标前的准备工作</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（1）全体评委应认真审阅招标文件，了解评委应履行或遵守的职责、义务和评标纪律。</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6.2符合性审查</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（1）评标委员会依据招标文件的实质性要求，对通过资格审查的电子投标文件进行符合性审查，以确定其是否满足招标文件的实质性要求。</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（2）满足招标文件的实质性要求指电子投标文件对招标文件实质性要求的响应不存在重大偏差或保留。</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（5）评标委员会对所有投标人都执行相同的程序和标准。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（6）有下列情形之一的，符合性审查不合格：</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①项目一般情形：</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序号</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符合审查要求概况</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情形1</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情形2</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情形3</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投标文件对招标文件实质性要求的响应存在重大偏离或保留。</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序号</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符合审查要求概况</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情形1</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情形2</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情形3</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投标文件对招标文件实质性要求的响应存在重大偏离或保留。</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序号</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符合审查要求概况</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情形1</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情形2</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311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情形3</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投标文件对招标文件实质性要求的响应存在重大偏离或保留。</w:t>
            </w:r>
          </w:p>
        </w:tc>
      </w:tr>
    </w:tbl>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②本项目规定的其他情形：</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0"/>
        <w:gridCol w:w="7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情形</w:t>
            </w:r>
          </w:p>
        </w:tc>
        <w:tc>
          <w:tcPr>
            <w:tcW w:w="712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其他情形</w:t>
            </w:r>
          </w:p>
        </w:tc>
        <w:tc>
          <w:tcPr>
            <w:tcW w:w="712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技术部分实际得分低于招标文件技术部分总分值50%的视为无效投标。（2）技术部分中不得出现报价部分的全部或部分的投标报价信息（或组成资料），否则符合性审查不合格。（3）明显不符合技术规格、技术标准要求的；（4）投标文件组成不符合招标文件要求的；（5）投标文件中提供虚假或失实资料的；内容不全或关键字迹模糊、无法辨认的；（6）投标人名称或组织结构与资格性审查时不一致且未提供有效证明的；（7）采取分包、转包方式履行合同的；（8）投标文件附有采购人不能接受的条件；（9）不符合招标文件中规定的其他实质性要求的均视为未实质性响应招标文件要求，均按照无效投标处理。</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0"/>
        <w:gridCol w:w="7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情形</w:t>
            </w:r>
          </w:p>
        </w:tc>
        <w:tc>
          <w:tcPr>
            <w:tcW w:w="712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其他情形</w:t>
            </w:r>
          </w:p>
        </w:tc>
        <w:tc>
          <w:tcPr>
            <w:tcW w:w="712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未在投标文件中完全响应招标文件第五章招标内容及要求中第“三、商务要求”全部条款的。（2）商务部分中不得出现报价部分的全部或部分的投标报价信息（或组成资料）（联合体协议及分包意向协议中的比例规定，不适用本条款），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附加符合性：无</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价格符合性：无</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0"/>
        <w:gridCol w:w="7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情形</w:t>
            </w:r>
          </w:p>
        </w:tc>
        <w:tc>
          <w:tcPr>
            <w:tcW w:w="712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其他情形</w:t>
            </w:r>
          </w:p>
        </w:tc>
        <w:tc>
          <w:tcPr>
            <w:tcW w:w="712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技术部分实际得分低于招标文件技术部分总分值50%的视为无效投标。（2）技术部分中不得出现报价部分的全部或部分的投标报价信息（或组成资料），否则符合性审查不合格。（3）明显不符合技术规格、技术标准要求的；（4）投标文件组成不符合招标文件要求的；（5）投标文件中提供虚假或失实资料的；内容不全或关键字迹模糊、无法辨认的；（6）投标人名称或组织结构与资格性审查时不一致且未提供有效证明的；（7）采取分包、转包方式履行合同的；（8）投标文件附有采购人不能接受的条件；（9）不符合招标文件中规定的其他实质性要求的均视为未实质性响应招标文件要求，均按照无效投标处理。</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0"/>
        <w:gridCol w:w="7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情形</w:t>
            </w:r>
          </w:p>
        </w:tc>
        <w:tc>
          <w:tcPr>
            <w:tcW w:w="712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0"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其他情形</w:t>
            </w:r>
          </w:p>
        </w:tc>
        <w:tc>
          <w:tcPr>
            <w:tcW w:w="712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未在投标文件中完全响应招标文件第五章招标内容及要求中第“三、商务要求”全部条款的。（2）商务部分中不得出现报价部分的全部或部分的投标报价信息（或组成资料）（联合体协议及分包意向协议中的比例规定，不适用本条款），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附加符合性：无</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价格符合性：无</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71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情形</w:t>
            </w:r>
          </w:p>
        </w:tc>
        <w:tc>
          <w:tcPr>
            <w:tcW w:w="715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其他情形</w:t>
            </w:r>
          </w:p>
        </w:tc>
        <w:tc>
          <w:tcPr>
            <w:tcW w:w="715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技术部分实际得分低于招标文件技术部分总分值50%的视为无效投标。（2）技术部分中不得出现报价部分的全部或部分的投标报价信息（或组成资料），否则符合性审查不合格。（3）明显不符合技术规格、技术标准要求的；（4）投标文件组成不符合招标文件要求的；（5）投标文件中提供虚假或失实资料的；内容不全或关键字迹模糊、无法辨认的；（6）投标人名称或组织结构与资格性审查时不一致且未提供有效证明的；（7）采取分包、转包方式履行合同的；（8）投标文件附有采购人不能接受的条件；（9）不符合招标文件中规定的其他实质性要求的均视为未实质性响应招标文件要求，均按照无效投标处理。</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5"/>
        <w:gridCol w:w="71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情形</w:t>
            </w:r>
          </w:p>
        </w:tc>
        <w:tc>
          <w:tcPr>
            <w:tcW w:w="715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5"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其他情形</w:t>
            </w:r>
          </w:p>
        </w:tc>
        <w:tc>
          <w:tcPr>
            <w:tcW w:w="715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未在投标文件中完全响应招标文件第五章招标内容及要求中第“三、商务要求”全部条款的。（2）商务部分中不得出现报价部分的全部或部分的投标报价信息（或组成资料）（联合体协议及分包意向协议中的比例规定，不适用本条款），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附加符合性：无</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价格符合性：无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6.3澄清有关问题</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（1）对通过符合性审查的电子投标文件中含义不明确、同类问题表述不一致或有明显文字和计算错误的内容，评标委员会将以书面形式要求投标人作出必要的澄清、说明或补正。</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（3）电子投标文件报价出现前后不一致的，除招标文件另有规定外，按照下列规定修正：</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①开标一览表内容与电子投标文件中相应内容不一致的，以开标一览表为准；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②大写金额和小写金额不一致的，以大写金额为准；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③单价金额小数点或百分比有明显错位的，以开标一览表的总价为准，并修改单价；</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④总价金额与按照单价汇总金额不一致的，以单价金额计算结果为准。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※同时出现两种以上不一致的，按照前款规定的顺序修正。修正后的报价应按照本章第6.3条第（1）、（2）款规定经投标人确认后产生约束力，投标人不确认的，其投标无效。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（4）关于细微偏差</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②评标委员会将以书面形式要求存在细微偏差的投标人在评标委员会规定的时间内予以补正。若无法补正，则评标委员会将按照不利于投标人的内容进行认定。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（5）关于投标描述（即电子投标文件中描述的内容）</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①投标描述前后不一致且不涉及证明材料的：按照本章第6.3条第（1）、（2）款规定执行。</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②投标描述与证明材料不一致或多份证明材料之间不一致的：</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a.评标委员会将要求投标人进行书面澄清，并按照不利于投标人的内容进行评标。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6.4比较与评价</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（1）按照本章第7条载明的评标方法和标准，对符合性审查合格的电子投标文件进行比较与评价。</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（2）关于相同品牌产品（政府采购服务类项目不适用本条款规定）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a.招标文件规定的方式：</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b.招标文件未规定的，采取随机抽取方式确定，其他投标无效。</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a.招标文件规定的方式：</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b.招标文件未规定的，采取随机抽取方式确定，其他同品牌投标人不作为中标候选人。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③非单一产品采购项目，多家投标人提供的核心产品品牌相同的，按照本章第6.4条第（2）款第①、②规定处理。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（3）漏（缺）项</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①招标文件中要求列入报价的费用（含配置、功能），漏（缺）项的报价视为已经包括在投标总价中。</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②对多报项及赠送项的价格评标时不予核减，全部进入评标价评议。</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6.5推荐中标候选人：详见本章第7.2条规定。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6.6编写评标报告</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（1）评标报告由评标委员会负责编写。</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（2）评标报告应包括下列内容：</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①招标公告刊登的媒体名称、开标日期和地点；</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②投标人名单和评标委员会成员名单；</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③评标方法和标准；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④开标记录和评标情况及说明，包括无效投标人名单及原因；</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⑤评标结果，包括中标候选人名单或确定的中标人；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⑥其他需要说明的情况，包括但不限于：评标过程中投标人的澄清、说明或补正，评委更换等。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6.8评委对需要共同认定的事项存在争议的，应按照少数服从多数的原则进行认定。持不同意见的评委应在评标报告上签署不同意见及理由，否则视为同意评标报告。</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6.9在评标过程中发现投标人有下列情形之一的，评标委员会应认定其投标无效，并书面报告本项目监督管理部门：</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（1）恶意串通（包括但不限于招标文件第三章第9.7条规定情形）；</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（2）妨碍其他投标人的竞争行为；</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（3）损害采购人或其他投标人的合法权益。</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6.10评标过程中，有下列情形之一的，应予废标：</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（1）符合性审查合格的投标人不足三家的；</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（2）有关法律、法规和规章规定废标的情形。</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※若废标，则本次采购活动结束， 福建康泰招标有限公司 将依法组织后续采购活动（包括但不限于：重新招标、采用其他方式采购等）。</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7、评标方法和标准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7.1评标方法：</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采购包1：综合评分法</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采购包2：综合评分法</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采购包3：综合评分法</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7.2评标标准</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采购包1：综合评分法</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（1）投标文件满足招标文件全部实质性要求，且按照评审因素的量化指标评审得分（即评标总得分）最高的投标人为中标候选人。</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各项评审因素的设置如下：</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价格项（F1×A1）满分为30.00分</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43"/>
        <w:gridCol w:w="1225"/>
        <w:gridCol w:w="912"/>
        <w:gridCol w:w="5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3"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w:t>
            </w:r>
          </w:p>
        </w:tc>
        <w:tc>
          <w:tcPr>
            <w:tcW w:w="1225"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适用对象</w:t>
            </w:r>
          </w:p>
        </w:tc>
        <w:tc>
          <w:tcPr>
            <w:tcW w:w="912"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比例</w:t>
            </w:r>
          </w:p>
        </w:tc>
        <w:tc>
          <w:tcPr>
            <w:tcW w:w="502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3"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小型、微型企业，监狱企业，残疾人福利性单位</w:t>
            </w:r>
          </w:p>
        </w:tc>
        <w:tc>
          <w:tcPr>
            <w:tcW w:w="1225"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投标人或者联合体均为小型、微型企业</w:t>
            </w:r>
          </w:p>
        </w:tc>
        <w:tc>
          <w:tcPr>
            <w:tcW w:w="912" w:type="dxa"/>
          </w:tcPr>
          <w:p>
            <w:pPr>
              <w:pStyle w:val="9"/>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15.00%</w:t>
            </w:r>
          </w:p>
        </w:tc>
        <w:tc>
          <w:tcPr>
            <w:tcW w:w="502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政府采购促进中小企业发展管理办法》、《关于进一步加大政府采购支持中小企业力度的通知》、《福建省财政厅关于进一步加大政府采购支持中小企业力度的通知》价格的扣除：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中小企业适用价格扣除办法时应提供《中小企业声明函》，否则不予价格扣除。2、依据本办法规定享受扶持政策获得政府采购合同的，小微企业不得将合同分包给大中型企业，中型企业不得将合同分包给大型企业。3、本项目为货物类采购项目，采购标的对应的中小企业划分标准所属行业为“工业”。二、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三、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中华人民共和国政府采购法》、《中华人民共和国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级人民政府批准的月最低工资标准的工资；(5)提供本单位制造的货物、承担的工程或者服务，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规定的残疾人福利性单位参加政府采购活动视同小型、微型企业，提供《残疾人福利性单位声明函》（详见第七章投标文件格式）并对声明的真实性负责，其报价享受15%（工程项目为5%）的评审价格扣除优惠。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注：1、根据《财政部 民政部 中国残疾人联合会关于促进残疾人就业政府采购政策的通知》(财库〔2017〕141号)的规定，中标供应商为残疾人福利性单位的，采购代理机构将随中标结果同时公告其《残疾人福利性单位声明函》，接受社会监督。供应商提供的《残疾人福利性单位声明函》与事实不符的，将依照《中华人民共和国政府采购法》第七十七条第一款的规定被追究法律责任。(本文件中其他有关对小微企业及其报价扣除描述情况与此处不一致的，以此处为准)。</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其他：无</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技术项（F2×A2）满分为60.00分</w:t>
      </w:r>
    </w:p>
    <w:tbl>
      <w:tblPr>
        <w:tblStyle w:val="6"/>
        <w:tblW w:w="485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6"/>
        <w:gridCol w:w="850"/>
        <w:gridCol w:w="62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项目</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分值</w:t>
            </w:r>
          </w:p>
        </w:tc>
        <w:tc>
          <w:tcPr>
            <w:tcW w:w="62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1、技术要求响应情况</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60.00</w:t>
            </w:r>
          </w:p>
        </w:tc>
        <w:tc>
          <w:tcPr>
            <w:tcW w:w="62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根据投标人所投设备对招标文件《第五章 招标内容及要求》“二、技术和服务要求”采购包1中各项要求的响应承诺情况，由评委进行评分：完全满足招标文件要求（按项号计算，共计33项）的得60分；其中标注“★”符号的技术参数（按项号计算，共计4项）为不允许负偏离的实质性要求，出现负偏离按无效投标处理；标注“▲”符号的技术参数（按项号计算，共计9项）每负偏离一项扣3分，正偏离不加分。未标注“★”和“▲”符号的技术参数（按项号计算，共计20项）每负偏离一项扣1.65分，正偏离不加分。</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商务项（F3×A3）满分为10.00分</w:t>
      </w:r>
    </w:p>
    <w:tbl>
      <w:tblPr>
        <w:tblStyle w:val="6"/>
        <w:tblW w:w="485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6"/>
        <w:gridCol w:w="850"/>
        <w:gridCol w:w="62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项目</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分值</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1、业绩</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提供自2020年1月1日起至本项目投标截止时间止（日期以合同签订时间为准）由投标人在国内所完成的与本次投标同类产品项目业绩情况，由评委进行评分：每提供1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未提供或证明材料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2、质保期承诺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根据投标人对投标货物免费质保期的承诺情况，由评委进行评分：全部货物免费保修期在招标文件要求的基础上（5年），每延长1年得1分，满分3分。投标人须提供承诺函（格式自拟），未提供的不得分。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3、技术培训方案</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针对本项目提供的技术培训方案（包括但不限于：管理人员、操作人员、设备维护人员进行培训等情况），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方案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4、售后服务方案</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针对本项目提供的售后服务方案（包括但不限于：具体的售后服务内容、故障响应时间等），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方案或内容存在明显错误、内容明显不适用于本项目需求的均不得分。</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加分项（F4×A4）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7"/>
        <w:gridCol w:w="737"/>
        <w:gridCol w:w="63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7"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w:t>
            </w:r>
          </w:p>
        </w:tc>
        <w:tc>
          <w:tcPr>
            <w:tcW w:w="737"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分值</w:t>
            </w:r>
          </w:p>
        </w:tc>
        <w:tc>
          <w:tcPr>
            <w:tcW w:w="6362"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7"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节能、环境标志产品</w:t>
            </w:r>
          </w:p>
        </w:tc>
        <w:tc>
          <w:tcPr>
            <w:tcW w:w="737" w:type="dxa"/>
          </w:tcPr>
          <w:p>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7.20</w:t>
            </w:r>
          </w:p>
        </w:tc>
        <w:tc>
          <w:tcPr>
            <w:tcW w:w="6362"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按财政部 发展改革委 生态环境部 市场监管总局印发《关于调整优化节能产品、环境标志产品政府采购执行机制的通知》(财库〔2019〕9号)、《关于印发环境标志产品政府采购品目清单的通知》财库〔2019〕18号 和《关于印发节能产品政府采购品目清单的通知》(财库〔2019〕19号)的规定执行。根据《关于调整优化节能产品、环境标志产品政府采购执行机制的通知》(财库〔2019〕9号)的规定，“采购人拟采购的产品属于品目清单范围的，采购人及其委托的采购代理机构应当依据国家确定的认证机构出具的、处于有效期之内的节能产品、环境标志产品认证证书，对获得证书的产品实施政府优先采购或强制采购。” 本次采购货物中如属政府强制采购节能产品的，投标人须提供国家确定的认证机构出具的、处于有效期之内的节能产品、环境标志产品认证证书则按以下标准进行评审优惠： ①、若同一合同包内的节能(非强制类产品)、减排、环境标志产品报价总金额低于本合同包报价总金额20%(含20%)以下的，将分别给予节能、减排、环境标志产品价格评标项和技术评标项标准总分值4％的加分； ②、若同一合同包内节能(非强制类产品)、减排、环境标志产品报价总金额占本合同包报价总金额20%-50%(含50%)的，将分别给予节能、减排、环境标志产品在价格评标项和技术评标项标准总分值6％的加分； ③、若同一合同包内节能(非强制类产品)、减排、环境标志产品报价总金额占本合同包报价总金额50%以上的，将分别给予节能、减排、环境标志产品在价格评标项和技术评标项标准总分值8％的加分。 注：对于同时列入“品目清单”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若节能、环境标志清单内的产品仅是构成投标产品的部件、组件或零件的，则该投标产品不享受鼓励优惠政策。评标委员会审查此项响应性只根据投标文件本身的内容，而不寻求其他的外部证据。</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（4）中标候选人排列规则顺序如下：</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a.按照评标总得分（FA）由高到低顺序排列。</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b.评标总得分（FA）相同的，按照评标价（即价格扣除后的投标报价）由低到高顺序排列。</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c.评标总得分（FA）且评标价（即价格扣除后的投标报价）相同的并列。</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采购包2：综合评分法</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（1）投标文件满足招标文件全部实质性要求，且按照评审因素的量化指标评审得分（即评标总得分）最高的投标人为中标候选人。</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各项评审因素的设置如下：</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价格项（F1×A1）满分为30.00分</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07"/>
        <w:gridCol w:w="1325"/>
        <w:gridCol w:w="862"/>
        <w:gridCol w:w="48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7"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w:t>
            </w:r>
          </w:p>
        </w:tc>
        <w:tc>
          <w:tcPr>
            <w:tcW w:w="1325"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适用对象</w:t>
            </w:r>
          </w:p>
        </w:tc>
        <w:tc>
          <w:tcPr>
            <w:tcW w:w="862"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比例</w:t>
            </w:r>
          </w:p>
        </w:tc>
        <w:tc>
          <w:tcPr>
            <w:tcW w:w="4812"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7"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小型、微型企业，监狱企业，残疾人福利性单位</w:t>
            </w:r>
          </w:p>
        </w:tc>
        <w:tc>
          <w:tcPr>
            <w:tcW w:w="1325"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投标人或者联合体均为小型、微型企业</w:t>
            </w:r>
          </w:p>
        </w:tc>
        <w:tc>
          <w:tcPr>
            <w:tcW w:w="862" w:type="dxa"/>
          </w:tcPr>
          <w:p>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15.00%</w:t>
            </w:r>
          </w:p>
        </w:tc>
        <w:tc>
          <w:tcPr>
            <w:tcW w:w="4812"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政府采购促进中小企业发展管理办法》、《关于进一步加大政府采购支持中小企业力度的通知》、《福建省财政厅关于进一步加大政府采购支持中小企业力度的通知》价格的扣除：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中小企业适用价格扣除办法时应提供《中小企业声明函》，否则不予价格扣除。2、依据本办法规定享受扶持政策获得政府采购合同的，小微企业不得将合同分包给大中型企业，中型企业不得将合同分包给大型企业。3、本项目为货物类采购项目，采购标的对应的中小企业划分标准所属行业为“工业”。二、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三、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中华人民共和国政府采购法》、《中华人民共和国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级人民政府批准的月最低工资标准的工资；(5)提供本单位制造的货物、承担的工程或者服务，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规定的残疾人福利性单位参加政府采购活动视同小型、微型企业，提供《残疾人福利性单位声明函》（详见第七章投标文件格式）并对声明的真实性负责，其报价享受15%（工程项目为5%）的评审价格扣除优惠。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注：1、根据《财政部 民政部 中国残疾人联合会关于促进残疾人就业政府采购政策的通知》(财库〔2017〕141号)的规定，中标供应商为残疾人福利性单位的，采购代理机构将随中标结果同时公告其《残疾人福利性单位声明函》，接受社会监督。供应商提供的《残疾人福利性单位声明函》与事实不符的，将依照《中华人民共和国政府采购法》第七十七条第一款的规定被追究法律责任。(本文件中其他有关对小微企业及其报价扣除描述情况与此处不一致的，以此处为准)。</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其他：无</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技术项（F2×A2）满分为60.00分</w:t>
      </w:r>
    </w:p>
    <w:tbl>
      <w:tblPr>
        <w:tblStyle w:val="6"/>
        <w:tblW w:w="485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6"/>
        <w:gridCol w:w="850"/>
        <w:gridCol w:w="62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项目</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分值</w:t>
            </w:r>
          </w:p>
        </w:tc>
        <w:tc>
          <w:tcPr>
            <w:tcW w:w="62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1、技术要求响应情况</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60.00</w:t>
            </w:r>
          </w:p>
        </w:tc>
        <w:tc>
          <w:tcPr>
            <w:tcW w:w="62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根据投标人所投设备对招标文件《第五章 招标内容及要求》“二、技术和服务要求”采购包2中各项要求的响应承诺情况，由评委进行评分：完全满足招标文件要求（按项号计算，共计86项）的得60分；其中标注“★”符号的技术参数（按项号计算，共计2项）为不允许负偏离的实质性要求，出现负偏离按无效投标处理；标注“▲”符号的技术参数（按项号计算，共计4项）每负偏离一项扣3分，正偏离不加分。未标注“★”和“▲”符号的技术参数（按项号计算，共计80项）每负偏离一项扣0.6分，正偏离不加分。</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商务项（F3×A3）满分为10.00分</w:t>
      </w:r>
    </w:p>
    <w:tbl>
      <w:tblPr>
        <w:tblStyle w:val="6"/>
        <w:tblW w:w="485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6"/>
        <w:gridCol w:w="850"/>
        <w:gridCol w:w="62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项目</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分值</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1、业绩</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提供自2020年1月1日起至本项目投标截止时间止（日期以合同签订时间为准）由投标人在国内所完成的与本次投标同类产品项目业绩情况，由评委进行评分：每提供1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未提供或证明材料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2、质保期承诺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根据投标人对投标货物免费质保期的承诺情况，由评委进行评分：全部货物免费保修期在招标文件要求的基础上（2年），每延长1年得1分，满分3分。投标人须提供承诺函（格式自拟），未提供的不得分。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3、技术培训方案</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针对本项目提供的技术培训方案（包括但不限于：管理人员、操作人员、设备维护人员进行培训等情况），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方案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4、售后服务方案</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针对本项目提供的售后服务方案（包括但不限于：具体的售后服务内容、故障响应时间等），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方案或内容存在明显错误、内容明显不适用于本项目需求的均不得分。</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加分项（F4×A4）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7"/>
        <w:gridCol w:w="687"/>
        <w:gridCol w:w="60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7"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w:t>
            </w:r>
          </w:p>
        </w:tc>
        <w:tc>
          <w:tcPr>
            <w:tcW w:w="687" w:type="dxa"/>
          </w:tcPr>
          <w:p>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分值</w:t>
            </w:r>
          </w:p>
        </w:tc>
        <w:tc>
          <w:tcPr>
            <w:tcW w:w="6012"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7"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节能、环境标志产品</w:t>
            </w:r>
          </w:p>
        </w:tc>
        <w:tc>
          <w:tcPr>
            <w:tcW w:w="687" w:type="dxa"/>
          </w:tcPr>
          <w:p>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7.20</w:t>
            </w:r>
          </w:p>
        </w:tc>
        <w:tc>
          <w:tcPr>
            <w:tcW w:w="6012"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按财政部 发展改革委 生态环境部 市场监管总局印发《关于调整优化节能产品、环境标志产品政府采购执行机制的通知》(财库〔2019〕9号)、《关于印发环境标志产品政府采购品目清单的通知》财库〔2019〕18号 和《关于印发节能产品政府采购品目清单的通知》(财库〔2019〕19号)的规定执行。根据《关于调整优化节能产品、环境标志产品政府采购执行机制的通知》(财库〔2019〕9号)的规定，“采购人拟采购的产品属于品目清单范围的，采购人及其委托的采购代理机构应当依据国家确定的认证机构出具的、处于有效期之内的节能产品、环境标志产品认证证书，对获得证书的产品实施政府优先采购或强制采购。” 本次采购货物中如属政府强制采购节能产品的，投标人须提供国家确定的认证机构出具的、处于有效期之内的节能产品、环境标志产品认证证书则按以下标准进行评审优惠： ①、若同一合同包内的节能(非强制类产品)、减排、环境标志产品报价总金额低于本合同包报价总金额20%(含20%)以下的，将分别给予节能、减排、环境标志产品价格评标项和技术评标项标准总分值4％的加分； ②、若同一合同包内节能(非强制类产品)、减排、环境标志产品报价总金额占本合同包报价总金额20%-50%(含50%)的，将分别给予节能、减排、环境标志产品在价格评标项和技术评标项标准总分值6％的加分； ③、若同一合同包内节能(非强制类产品)、减排、环境标志产品报价总金额占本合同包报价总金额50%以上的，将分别给予节能、减排、环境标志产品在价格评标项和技术评标项标准总分值8％的加分。 注：对于同时列入“品目清单”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若节能、环境标志清单内的产品仅是构成投标产品的部件、组件或零件的，则该投标产品不享受鼓励优惠政策。评标委员会审查此项响应性只根据投标文件本身的内容，而不寻求其他的外部证据。</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（4）中标候选人排列规则顺序如下：</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a.按照评标总得分（FA）由高到低顺序排列。</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b.评标总得分（FA）相同的，按照评标价（即价格扣除后的投标报价）由低到高顺序排列。</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c.评标总得分（FA）且评标价（即价格扣除后的投标报价）相同的并列。</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采购包3：综合评分法</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（1）投标文件满足招标文件全部实质性要求，且按照评审因素的量化指标评审得分（即评标总得分）最高的投标人为中标候选人。</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各项评审因素的设置如下：</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价格项（F1×A1）满分为30.00分</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4"/>
        <w:gridCol w:w="1188"/>
        <w:gridCol w:w="850"/>
        <w:gridCol w:w="50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4"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w:t>
            </w:r>
          </w:p>
        </w:tc>
        <w:tc>
          <w:tcPr>
            <w:tcW w:w="1188"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适用对象</w:t>
            </w:r>
          </w:p>
        </w:tc>
        <w:tc>
          <w:tcPr>
            <w:tcW w:w="850"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比例</w:t>
            </w:r>
          </w:p>
        </w:tc>
        <w:tc>
          <w:tcPr>
            <w:tcW w:w="5024"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4"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小型、微型企业，监狱企业，残疾人福利性单位</w:t>
            </w:r>
          </w:p>
        </w:tc>
        <w:tc>
          <w:tcPr>
            <w:tcW w:w="1188"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投标人或者联合体均为小型、微型企业</w:t>
            </w:r>
          </w:p>
        </w:tc>
        <w:tc>
          <w:tcPr>
            <w:tcW w:w="850" w:type="dxa"/>
          </w:tcPr>
          <w:p>
            <w:pPr>
              <w:pStyle w:val="9"/>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15.00%</w:t>
            </w:r>
          </w:p>
        </w:tc>
        <w:tc>
          <w:tcPr>
            <w:tcW w:w="5024"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政府采购促进中小企业发展管理办法》、《关于进一步加大政府采购支持中小企业力度的通知》、《福建省财政厅关于进一步加大政府采购支持中小企业力度的通知》价格的扣除：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中小企业适用价格扣除办法时应提供《中小企业声明函》，否则不予价格扣除。2、依据本办法规定享受扶持政策获得政府采购合同的，小微企业不得将合同分包给大中型企业，中型企业不得将合同分包给大型企业。3、本项目为货物类采购项目，采购标的对应的中小企业划分标准所属行业为“工业”。二、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三、残疾人福利性单位价格的扣除：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中华人民共和国政府采购法》、《中华人民共和国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级人民政府批准的月最低工资标准的工资；(5)提供本单位制造的货物、承担的工程或者服务，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规定的残疾人福利性单位参加政府采购活动视同小型、微型企业，提供《残疾人福利性单位声明函》（详见第七章投标文件格式）并对声明的真实性负责，其报价享受15%（工程项目为5%）的评审价格扣除优惠。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注：1、根据《财政部 民政部 中国残疾人联合会关于促进残疾人就业政府采购政策的通知》(财库〔2017〕141号)的规定，中标供应商为残疾人福利性单位的，采购代理机构将随中标结果同时公告其《残疾人福利性单位声明函》，接受社会监督。供应商提供的《残疾人福利性单位声明函》与事实不符的，将依照《中华人民共和国政府采购法》第七十七条第一款的规定被追究法律责任。(本文件中其他有关对小微企业及其报价扣除描述情况与此处不一致的，以此处为准)。</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其他：无</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技术项（F2×A2）满分为60.00分</w:t>
      </w:r>
    </w:p>
    <w:tbl>
      <w:tblPr>
        <w:tblStyle w:val="6"/>
        <w:tblW w:w="485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6"/>
        <w:gridCol w:w="850"/>
        <w:gridCol w:w="62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项目</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分值</w:t>
            </w:r>
          </w:p>
        </w:tc>
        <w:tc>
          <w:tcPr>
            <w:tcW w:w="62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1、技术要求响应情况</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60.00</w:t>
            </w:r>
          </w:p>
        </w:tc>
        <w:tc>
          <w:tcPr>
            <w:tcW w:w="62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根据投标人所投设备对招标文件《第五章 招标内容及要求》“二、技术和服务要求”采购包3中各项要求的响应承诺情况，由评委进行评分：完全满足招标文件要求（按项号计算，共计95项）的得60分；其中标注“★”符号的技术参数（按项号计算，共计2项）为不允许负偏离的实质性要求，出现负偏离按无效投标处理；标注“▲”符号的技术参数（按项号计算，共计9项）每负偏离一项扣2分，正偏离不加分。未标注“★”和“▲”符号的技术参数（按项号计算，共计8</w:t>
            </w:r>
            <w:r>
              <w:rPr>
                <w:rFonts w:hint="default" w:ascii="宋体" w:hAnsi="宋体" w:eastAsia="宋体" w:cs="宋体"/>
                <w:color w:val="auto"/>
                <w:kern w:val="0"/>
                <w:sz w:val="20"/>
                <w:szCs w:val="20"/>
                <w:highlight w:val="none"/>
                <w:lang w:val="en-US" w:eastAsia="zh-CN" w:bidi="ar"/>
              </w:rPr>
              <w:t>4</w:t>
            </w:r>
            <w:r>
              <w:rPr>
                <w:rFonts w:hint="eastAsia" w:ascii="宋体" w:hAnsi="宋体" w:eastAsia="宋体" w:cs="宋体"/>
                <w:color w:val="auto"/>
                <w:kern w:val="0"/>
                <w:sz w:val="20"/>
                <w:szCs w:val="20"/>
                <w:highlight w:val="none"/>
                <w:lang w:val="en-US" w:eastAsia="zh-CN" w:bidi="ar"/>
              </w:rPr>
              <w:t>项）每负偏离一项扣0.5分，正偏离不加分。</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商务项（F3×A3）满分为10.00分</w:t>
      </w:r>
    </w:p>
    <w:tbl>
      <w:tblPr>
        <w:tblStyle w:val="6"/>
        <w:tblW w:w="485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6"/>
        <w:gridCol w:w="850"/>
        <w:gridCol w:w="62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项目</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分值</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1、业绩</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提供自2020年1月1日起至本项目投标截止时间止（日期以合同签订时间为准）由投标人在国内所完成的与本次投标同类产品项目业绩情况，由评委进行评分：每提供1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未提供或证明材料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2、质保期承诺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根据投标人对投标货物免费质保期的承诺情况，由评委进行评分：全部货物免费保修期在招标文件要求的基础上（2年），每延长1年得1分，满分3分。投标人须提供承诺函（格式自拟），未提供的不得分。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3、技术培训方案</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针对本项目提供的技术培训方案（包括但不限于：管理人员、操作人员、设备维护人员进行培训等情况），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方案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4、售后服务方案</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2.00</w:t>
            </w:r>
          </w:p>
        </w:tc>
        <w:tc>
          <w:tcPr>
            <w:tcW w:w="62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根据投标人针对本项目提供的售后服务方案（包括但不限于：具体的售后服务内容、故障响应时间等），由评委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方案或内容存在明显错误、内容明显不适用于本项目需求的均不得分。</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加分项（F4×A4）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4"/>
        <w:gridCol w:w="738"/>
        <w:gridCol w:w="59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4"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w:t>
            </w:r>
          </w:p>
        </w:tc>
        <w:tc>
          <w:tcPr>
            <w:tcW w:w="738"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分值</w:t>
            </w:r>
          </w:p>
        </w:tc>
        <w:tc>
          <w:tcPr>
            <w:tcW w:w="5924"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4"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节能、环境标志产品</w:t>
            </w:r>
          </w:p>
        </w:tc>
        <w:tc>
          <w:tcPr>
            <w:tcW w:w="738" w:type="dxa"/>
          </w:tcPr>
          <w:p>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7.20</w:t>
            </w:r>
          </w:p>
        </w:tc>
        <w:tc>
          <w:tcPr>
            <w:tcW w:w="5924"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按财政部 发展改革委 生态环境部 市场监管总局印发《关于调整优化节能产品、环境标志产品政府采购执行机制的通知》(财库〔2019〕9号)、《关于印发环境标志产品政府采购品目清单的通知》财库〔2019〕18号 和《关于印发节能产品政府采购品目清单的通知》(财库〔2019〕19号)的规定执行。根据《关于调整优化节能产品、环境标志产品政府采购执行机制的通知》(财库〔2019〕9号)的规定，“采购人拟采购的产品属于品目清单范围的，采购人及其委托的采购代理机构应当依据国家确定的认证机构出具的、处于有效期之内的节能产品、环境标志产品认证证书，对获得证书的产品实施政府优先采购或强制采购。” 本次采购货物中如属政府强制采购节能产品的，投标人须提供国家确定的认证机构出具的、处于有效期之内的节能产品、环境标志产品认证证书则按以下标准进行评审优惠： ①、若同一合同包内的节能(非强制类产品)、减排、环境标志产品报价总金额低于本合同包报价总金额20%(含20%)以下的，将分别给予节能、减排、环境标志产品价格评标项和技术评标项标准总分值4％的加分； ②、若同一合同包内节能(非强制类产品)、减排、环境标志产品报价总金额占本合同包报价总金额20%-50%(含50%)的，将分别给予节能、减排、环境标志产品在价格评标项和技术评标项标准总分值6％的加分； ③、若同一合同包内节能(非强制类产品)、减排、环境标志产品报价总金额占本合同包报价总金额50%以上的，将分别给予节能、减排、环境标志产品在价格评标项和技术评标项标准总分值8％的加分。 注：对于同时列入“品目清单”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若节能、环境标志清单内的产品仅是构成投标产品的部件、组件或零件的，则该投标产品不享受鼓励优惠政策。评标委员会审查此项响应性只根据投标文件本身的内容，而不寻求其他的外部证据。</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（4）中标候选人排列规则顺序如下：</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a.按照评标总得分（FA）由高到低顺序排列。</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b.评标总得分（FA）相同的，按照评标价（即价格扣除后的投标报价）由低到高顺序排列。</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c.评标总得分（FA）且评标价（即价格扣除后的投标报价）相同的并列。</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8、其他规定</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8.1评标应全程保密且不得透露给任一投标人或与评标工作无关的人员。</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8.2评标将进行全程实时录音录像，录音录像资料随采购文件一并存档。</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8.4其他：</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第五章 招标内容及要求</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一、项目概况（采购标的）</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1、本项目为福建省立医院彩色多普勒超声诊断仪采购项目。</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2、本项目采购包1核心产品为“◆彩色多普勒超声诊断仪”，采购包2核心产品为“◆彩色多普勒超声诊断仪”，采购包3核心产品为“◆彩色多普勒超声诊断仪”，若有两家及以上投标人提供同一品牌的核心产品的，按招标文件第四章第6.4条第（2）款第1、2规定处理。</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二、技术和服务要求（以“★”标示的内容为不允许负偏离的实质性要求）</w:t>
      </w:r>
    </w:p>
    <w:p>
      <w:pPr>
        <w:keepNext w:val="0"/>
        <w:keepLines w:val="0"/>
        <w:pageBreakBefore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32"/>
          <w:szCs w:val="32"/>
          <w:highlight w:val="none"/>
          <w:lang w:val="en-US" w:eastAsia="zh-CN"/>
        </w:rPr>
        <w:t>采购包1◆</w:t>
      </w:r>
      <w:r>
        <w:rPr>
          <w:rFonts w:hint="eastAsia" w:ascii="宋体" w:hAnsi="宋体" w:eastAsia="宋体" w:cs="宋体"/>
          <w:b/>
          <w:color w:val="auto"/>
          <w:sz w:val="32"/>
          <w:szCs w:val="32"/>
          <w:highlight w:val="none"/>
        </w:rPr>
        <w:t>彩色多普勒超声诊断仪</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技术</w:t>
      </w:r>
      <w:r>
        <w:rPr>
          <w:rFonts w:hint="eastAsia" w:ascii="宋体" w:hAnsi="宋体" w:eastAsia="宋体" w:cs="宋体"/>
          <w:b/>
          <w:color w:val="auto"/>
          <w:sz w:val="32"/>
          <w:szCs w:val="32"/>
          <w:highlight w:val="none"/>
          <w:lang w:val="en-US" w:eastAsia="zh-CN"/>
        </w:rPr>
        <w:t>参数</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1、用途说明</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项号1</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1.1、用途：腹部、产科、妇科、心脏、小器官、泌尿、血管、儿科、神经、急诊、麻醉、其他</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2、物理规格及人机交互要求</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项号2</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2.1、显示器要求：≥23.8英寸高分辨率彩色液晶显示器，亮度可对比度通过预设可调，≥4个显示器关节支撑臂，显示器可以上下倾斜、左右旋转、前后移动，具有独立的显示器锁定装置（非关节臂锁定），可以更好的保护显示器，避免损坏。</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项号3</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2.2、触摸屏要求：≥13.3英寸彩色触摸屏，触摸屏角度可以独立于主机调节（机身静止状态下，独立调节角度≥25度）。</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项号4</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2.3、探头接口数量≥5个（5个探头接口均为无针式接口且大小一致）。</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3、二维灰阶模式</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项号5</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3.1、M型模式、彩色M型模式、解剖M型模式（≥3条取样线，360度自由旋转）、彩色多普勒成像、频谱多普勒成像，连续多普勒成像（要求线阵探头可支持连续多普勒成像）、组织多普勒成像,包括组织速度多普勒成像、组织能量多普勒成像、组织频谱多普勒成像、组织M型模式四种成像模式</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项号6</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3.2、空间复合成像技术，做曲别针实验最高可显示≥9条线</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项号7</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3.3、扩展成像（要求凸阵、线阵、心脏探头可用）</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项号8</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3.4、全域动态聚焦技术，声像图全程动态聚焦技术，全场图像均匀一致，图像上无焦点显示，仪器无任何实体和触摸按键可调节焦点</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项号9</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3.5、声速匹配技术，根据人体组织真实情况，一键实时自动匹配至最佳成像声速，并将具体声速数值在屏幕上显示</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项号10</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3.6、具备B模式局部ROI区域高分辨率显示技术，提高感兴趣区的二维图像分辨率和细节分辨率，支持实时显示高分辨率显示取样框，且支持高分辨率显示取样框的大小可调节，有利于甲状腺等组织肿块的鉴别诊断</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项号11</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3.7、立体血流技术，提供更接近真实世界的三度空间视觉，呈现血流的上下、左右、前后三维关系</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项号12</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3.8、宽景拼接成像技术（非拓展成像）：支持二维宽景和能量宽景，具有红、蓝、绿三种彩色框及文字提示扫描速度过快、过慢或者正常；宽景成像支持凸阵探头、线阵探头、腔内探头、单晶体相控阵探头</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项号13</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3.9、</w:t>
      </w:r>
      <w:r>
        <w:rPr>
          <w:rFonts w:hint="eastAsia" w:ascii="宋体" w:hAnsi="宋体" w:eastAsia="宋体" w:cs="宋体"/>
          <w:b w:val="0"/>
          <w:bCs/>
          <w:color w:val="auto"/>
          <w:sz w:val="24"/>
          <w:szCs w:val="24"/>
          <w:highlight w:val="none"/>
          <w:lang w:eastAsia="zh-CN"/>
        </w:rPr>
        <w:t>包含但不限于以下</w:t>
      </w:r>
      <w:r>
        <w:rPr>
          <w:rFonts w:hint="eastAsia" w:ascii="宋体" w:hAnsi="宋体" w:eastAsia="宋体" w:cs="宋体"/>
          <w:b w:val="0"/>
          <w:bCs/>
          <w:color w:val="auto"/>
          <w:sz w:val="24"/>
          <w:szCs w:val="24"/>
          <w:highlight w:val="none"/>
        </w:rPr>
        <w:t>2种血管标记功能，一种为专业血管图谱编辑功能，可手动编辑图谱，直观显示病变的位置；一种为传统体表体位图标记</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项号14</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3.10、智能血流跟踪技术，可以实现ROI框位置和角度的自动优化，提供Color/Power模式下彩色血流/能量图像的实时动态优化，节省人工调节时间，提升扫查效率</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项号15</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3.11、超微细血流成像技术，对微细低速血流具有高敏感度，可检测并显示组织内部及病灶血流灌注的低速血流，明显提高血流敏感度、血管空间分辨力</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项号16</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3.12、声衰减成像技术，可对肝脏组织的衰减系数进行测量及可视化显示，用干脂肪肝和肝纤维化的量化评估诊断。能够提供客观量化指标、规避人为因素影响</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4</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造影成像：</w:t>
      </w:r>
      <w:r>
        <w:rPr>
          <w:rFonts w:hint="eastAsia" w:ascii="宋体" w:hAnsi="宋体" w:eastAsia="宋体" w:cs="宋体"/>
          <w:b w:val="0"/>
          <w:bCs/>
          <w:color w:val="auto"/>
          <w:sz w:val="24"/>
          <w:szCs w:val="24"/>
          <w:highlight w:val="none"/>
        </w:rPr>
        <w:t>造影成像功能支持腹部探头、浅表探头、支持实时显示组织图像和造影图像，支持造影击碎，支持斑点噪声抑制，具备混合模式，支持造影图像和组织图像位置互换、支持微血管造影增强功能、支持低机械指数造影、具有双计时器、支持向后存储≥8分钟电影。</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项号17</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4.1、造影定量分析功能，支持时间强度分析曲线，以表格的形式显示数据，取样点可跟踪感兴趣区运动，≥8个ROI</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项号18</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4.2、具备造影时序分析功能，使用不同颜色标记造影剂到达时间，方便观察并比较病灶及组织的造影剂灌注特点，可对彩色和时间进行设置。</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项号19</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4.3、高帧率造影成像帧率：凸阵探头10cm深度，扫描角度45°，帧率可达30帧/秒及以上，线阵探头4cm深度，帧率可50帧/秒及以上</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项号20</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4.4、实时造影时，支持对组织灰阶图像进行标记，标记点同步映射到造影的图像上，便于观察</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项号21</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4.5、应变式弹性成像，具有压力提示，支持逐帧图像的压力大小查看，具有压力补偿技术</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项号22</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4.6、应变式弹性成像支持应变、应变率和应变直方图的测量，具有肿块周边组织与正常组织、肿块周边组织与肿块内组织弹性分析功能</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项号23</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4.7、剪切波定量弹性成像，动态显示二维剪切波弹性成像图，支持凸阵探头、线阵探头、腔内探头</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项号24</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4.8、剪切波定量弹性成像，具备组织硬度定量分析软件（支持多比值分析、柱状图分析）弹性定量的参数包括杨氏模量值、剪切模量值、剪切波速度，定量组织的硬度信息</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项号25</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4.9、具有质控稳定性指数、质控图、质控指数等质控形式，可自动生成剪切波弹性检查数据报告，报告中包含平均数、中位数、IQR/Median等量化数据，并且提供临床阈值供临床参考</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项号26</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4.10、具有病灶周边浸润区的环形定量工具，同时需具有实体的专用的按键调节精准控制，环形的大小分级分档，可视可调</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剪切波弹性成像支持高帧率成像，剪切波感兴趣区域2cm</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3cm时，帧率≥5帧/秒</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项号27</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4.1</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、支持在同一切面下同时进行应变式弹性成像和剪切波弹性成像并实时双幅显示。</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项号28</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5、支持肝肾比测量，基于B图像自动计算肾皮质和肝脏的灰阶比值进行肝脂肪变性评估，一键式肝肾皮质识别，实现快速简便的肝脂肪变性评估，肝脂肪变性的定量评估提供比传统定性评估更准确的定量分析</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项号29</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6、内置双硬盘设计（非外接，包括固态硬盘≥120GB和机械硬盘≥1TB），两个硬盘独立运行</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7、系统技术参数及要求</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项号30</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7.1、二维灰阶模式：最大显示深度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≥38cm、TGC</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≥8段、LGC</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≥8段、腔内探头扫描角度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≥200度</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项号31</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7.2、彩色多普勒成像：包括速度、速度方差、能量、方向能量显示等、取样框偏转</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≥±30度（线阵探头）、支持B/C 同宽</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项号32</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7.3、频谱多普勒模式：最大速度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≥8.60m/s（连续多普勒速度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≥35m/s）、最小速度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≤1mm/s（非噪声信号）、取样容积</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0.5-30mm，支持所有探头、偏转角度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≥±30度（线阵探头）</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项号33</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val="0"/>
          <w:bCs/>
          <w:color w:val="auto"/>
          <w:sz w:val="24"/>
          <w:szCs w:val="24"/>
          <w:highlight w:val="none"/>
        </w:rPr>
        <w:t>8、探头配置要求（4把）：单晶体凸阵探头、线阵探头（</w:t>
      </w:r>
      <w:r>
        <w:rPr>
          <w:rFonts w:hint="eastAsia" w:ascii="宋体" w:hAnsi="宋体" w:eastAsia="宋体" w:cs="宋体"/>
          <w:b w:val="0"/>
          <w:bCs/>
          <w:color w:val="auto"/>
          <w:sz w:val="24"/>
          <w:szCs w:val="24"/>
          <w:highlight w:val="none"/>
          <w:lang w:eastAsia="zh-CN"/>
        </w:rPr>
        <w:t>2把</w:t>
      </w:r>
      <w:r>
        <w:rPr>
          <w:rFonts w:hint="eastAsia" w:ascii="宋体" w:hAnsi="宋体" w:eastAsia="宋体" w:cs="宋体"/>
          <w:b w:val="0"/>
          <w:bCs/>
          <w:color w:val="auto"/>
          <w:sz w:val="24"/>
          <w:szCs w:val="24"/>
          <w:highlight w:val="none"/>
        </w:rPr>
        <w:t>）、腔内一线一凸双平面探头</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8.1、探头频率</w:t>
      </w:r>
      <w:r>
        <w:rPr>
          <w:rFonts w:hint="eastAsia" w:ascii="宋体" w:hAnsi="宋体" w:eastAsia="宋体" w:cs="宋体"/>
          <w:b w:val="0"/>
          <w:bCs/>
          <w:color w:val="auto"/>
          <w:sz w:val="24"/>
          <w:szCs w:val="24"/>
          <w:highlight w:val="none"/>
          <w:lang w:eastAsia="zh-CN"/>
        </w:rPr>
        <w:t>：</w:t>
      </w:r>
    </w:p>
    <w:p>
      <w:pPr>
        <w:pStyle w:val="9"/>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8.</w:t>
      </w: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、单晶体凸阵探头频率：1.2-6.0 MHz</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rPr>
        <w:t>8.</w:t>
      </w: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b w:val="0"/>
          <w:bCs/>
          <w:color w:val="auto"/>
          <w:sz w:val="24"/>
          <w:szCs w:val="24"/>
          <w:highlight w:val="none"/>
        </w:rPr>
        <w:t>、线阵探头频率：4.0-15.0 MHz</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rPr>
        <w:t>8.</w:t>
      </w:r>
      <w:r>
        <w:rPr>
          <w:rFonts w:hint="eastAsia" w:ascii="宋体" w:hAnsi="宋体" w:eastAsia="宋体" w:cs="宋体"/>
          <w:b w:val="0"/>
          <w:bCs/>
          <w:color w:val="auto"/>
          <w:sz w:val="24"/>
          <w:szCs w:val="24"/>
          <w:highlight w:val="none"/>
          <w:lang w:val="en-US" w:eastAsia="zh-CN"/>
        </w:rPr>
        <w:t>1.3</w:t>
      </w:r>
      <w:r>
        <w:rPr>
          <w:rFonts w:hint="eastAsia" w:ascii="宋体" w:hAnsi="宋体" w:eastAsia="宋体" w:cs="宋体"/>
          <w:b w:val="0"/>
          <w:bCs/>
          <w:color w:val="auto"/>
          <w:sz w:val="24"/>
          <w:szCs w:val="24"/>
          <w:highlight w:val="none"/>
        </w:rPr>
        <w:t>、腔内一线一凸双平面探头：超声频率线阵3.2-12.8MHz；凸阵3.5-9.5MHz</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rPr>
        <w:t>8.</w:t>
      </w:r>
      <w:r>
        <w:rPr>
          <w:rFonts w:hint="eastAsia" w:ascii="宋体" w:hAnsi="宋体" w:eastAsia="宋体" w:cs="宋体"/>
          <w:b w:val="0"/>
          <w:bCs/>
          <w:color w:val="auto"/>
          <w:sz w:val="24"/>
          <w:szCs w:val="24"/>
          <w:highlight w:val="none"/>
          <w:lang w:val="en-US" w:eastAsia="zh-CN"/>
        </w:rPr>
        <w:t>1.4</w:t>
      </w:r>
      <w:r>
        <w:rPr>
          <w:rFonts w:hint="eastAsia" w:ascii="宋体" w:hAnsi="宋体" w:eastAsia="宋体" w:cs="宋体"/>
          <w:b w:val="0"/>
          <w:bCs/>
          <w:color w:val="auto"/>
          <w:sz w:val="24"/>
          <w:szCs w:val="24"/>
          <w:highlight w:val="none"/>
        </w:rPr>
        <w:t>、线阵探头：4.0-9.0MHZ</w:t>
      </w:r>
      <w:r>
        <w:rPr>
          <w:rFonts w:hint="eastAsia" w:ascii="宋体" w:hAnsi="宋体" w:eastAsia="宋体" w:cs="宋体"/>
          <w:b w:val="0"/>
          <w:bCs/>
          <w:color w:val="auto"/>
          <w:sz w:val="24"/>
          <w:szCs w:val="24"/>
          <w:highlight w:val="none"/>
          <w:lang w:eastAsia="zh-CN"/>
        </w:rPr>
        <w:t>。</w:t>
      </w:r>
    </w:p>
    <w:p>
      <w:pPr>
        <w:spacing w:line="360" w:lineRule="auto"/>
        <w:jc w:val="both"/>
        <w:rPr>
          <w:rFonts w:hint="default"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t>采购包2</w:t>
      </w:r>
      <w:r>
        <w:rPr>
          <w:rFonts w:hint="eastAsia" w:ascii="宋体" w:hAnsi="宋体" w:eastAsia="宋体" w:cs="宋体"/>
          <w:b/>
          <w:color w:val="auto"/>
          <w:sz w:val="32"/>
          <w:szCs w:val="32"/>
          <w:highlight w:val="none"/>
          <w:lang w:val="en-US" w:eastAsia="zh-CN"/>
        </w:rPr>
        <w:t>◆彩色多普勒超声诊断仪</w:t>
      </w:r>
      <w:r>
        <w:rPr>
          <w:rFonts w:hint="eastAsia" w:asciiTheme="minorEastAsia" w:hAnsiTheme="minorEastAsia" w:eastAsiaTheme="minorEastAsia" w:cstheme="minorEastAsia"/>
          <w:b/>
          <w:color w:val="auto"/>
          <w:sz w:val="32"/>
          <w:szCs w:val="32"/>
          <w:highlight w:val="none"/>
          <w:lang w:val="en-US" w:eastAsia="zh-CN"/>
        </w:rPr>
        <w:t>--技术参数</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（项号1）1</w:t>
      </w:r>
      <w:r>
        <w:rPr>
          <w:rFonts w:hint="eastAsia" w:asciiTheme="minorEastAsia" w:hAnsiTheme="minorEastAsia" w:eastAsiaTheme="minorEastAsia" w:cstheme="minorEastAsia"/>
          <w:b/>
          <w:bCs/>
          <w:color w:val="auto"/>
          <w:sz w:val="24"/>
          <w:szCs w:val="24"/>
          <w:highlight w:val="none"/>
        </w:rPr>
        <w:t>、设备用途：</w:t>
      </w:r>
      <w:r>
        <w:rPr>
          <w:rFonts w:hint="eastAsia" w:asciiTheme="minorEastAsia" w:hAnsiTheme="minorEastAsia" w:eastAsiaTheme="minorEastAsia" w:cstheme="minorEastAsia"/>
          <w:bCs/>
          <w:color w:val="auto"/>
          <w:sz w:val="24"/>
          <w:szCs w:val="24"/>
          <w:highlight w:val="none"/>
        </w:rPr>
        <w:t>腹部、妇产科、泌尿科、小器官、心脏、血管、肌肉骨骼外周神经、微创介入、TCD、新生儿、儿科等</w:t>
      </w:r>
      <w:r>
        <w:rPr>
          <w:rFonts w:hint="eastAsia" w:asciiTheme="minorEastAsia" w:hAnsiTheme="minorEastAsia" w:eastAsiaTheme="minorEastAsia" w:cstheme="minorEastAsia"/>
          <w:color w:val="auto"/>
          <w:sz w:val="24"/>
          <w:szCs w:val="24"/>
          <w:highlight w:val="none"/>
        </w:rPr>
        <w:t>各科系病例诊断、疑难病例会诊和科研教学等极具价值</w:t>
      </w:r>
      <w:r>
        <w:rPr>
          <w:rFonts w:hint="eastAsia" w:asciiTheme="minorEastAsia" w:hAnsiTheme="minorEastAsia" w:eastAsiaTheme="minorEastAsia" w:cstheme="minorEastAsia"/>
          <w:bCs/>
          <w:color w:val="auto"/>
          <w:sz w:val="24"/>
          <w:szCs w:val="24"/>
          <w:highlight w:val="none"/>
        </w:rPr>
        <w:t>的顶级超声系统。</w:t>
      </w:r>
    </w:p>
    <w:p>
      <w:pPr>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、主要规格及系统概述：</w:t>
      </w:r>
      <w:r>
        <w:rPr>
          <w:rFonts w:hint="eastAsia" w:asciiTheme="minorEastAsia" w:hAnsiTheme="minorEastAsia" w:eastAsiaTheme="minorEastAsia" w:cstheme="minorEastAsia"/>
          <w:bCs/>
          <w:color w:val="auto"/>
          <w:sz w:val="24"/>
          <w:szCs w:val="24"/>
          <w:highlight w:val="none"/>
        </w:rPr>
        <w:t xml:space="preserve">  </w:t>
      </w:r>
    </w:p>
    <w:p>
      <w:pPr>
        <w:spacing w:line="360" w:lineRule="auto"/>
        <w:ind w:right="97" w:rightChars="4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（项号2）</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主机</w:t>
      </w:r>
      <w:r>
        <w:rPr>
          <w:rFonts w:hint="eastAsia" w:asciiTheme="minorEastAsia" w:hAnsiTheme="minorEastAsia" w:cstheme="minorEastAsia"/>
          <w:bCs/>
          <w:color w:val="auto"/>
          <w:sz w:val="24"/>
          <w:szCs w:val="24"/>
          <w:highlight w:val="none"/>
          <w:lang w:val="en-US" w:eastAsia="zh-CN"/>
        </w:rPr>
        <w:t>工作站</w:t>
      </w:r>
      <w:r>
        <w:rPr>
          <w:rFonts w:hint="eastAsia" w:asciiTheme="minorEastAsia" w:hAnsiTheme="minorEastAsia" w:eastAsiaTheme="minorEastAsia" w:cstheme="minorEastAsia"/>
          <w:bCs/>
          <w:color w:val="auto"/>
          <w:sz w:val="24"/>
          <w:szCs w:val="24"/>
          <w:highlight w:val="none"/>
        </w:rPr>
        <w:t>系统为Windows操作系统</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 xml:space="preserve"> </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项号3）</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显示器：≥23寸显示器</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可以上下、前后、左右自由活动、仰俯</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（项号4）</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具备≥13英寸彩色触摸控制屏,显示分辨率</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ko-KR"/>
        </w:rPr>
        <w:t>1,920</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eastAsia="ko-KR"/>
        </w:rPr>
        <w:t>1,080</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.3.1</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可与监视器同步显示图像</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.3.2</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触摸屏幕操作菜单可自主编辑,并可滑动翻页</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.3.3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触摸屏可做独立感应式位置调整</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角度可达30度。</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（项号5）</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数字化TGC分布于触摸屏</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且可随不同预设保存</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（项号6）</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.5</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操作面板电动调节高度、前后、左右位置及旋转</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left="200" w:right="97" w:rightChars="46" w:hanging="241" w:hangingChars="10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（项号7）</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.6</w:t>
      </w:r>
      <w:r>
        <w:rPr>
          <w:rFonts w:hint="eastAsia" w:ascii="宋体" w:hAnsi="宋体" w:eastAsia="宋体" w:cs="宋体"/>
          <w:b w:val="0"/>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主机成像通道数：≥7,000,000</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（项号8）</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.7</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系统最大动态范围：≥350dB</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项号9）</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.8</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系统最大扫查深度：≥45cm</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成像及分析单元：全新智能化波束形成器</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（项号10）</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二维灰阶成像及分析单元</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（项号11）</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M型显示及分析单元</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（项号12）</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彩色多普勒显示及分析单元</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（项号13）</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.4</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能量多普勒显示及分析单元</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（项号14）</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.5</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脉冲多普勒显示及分析单元</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（项号15）</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.6</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连续多普勒显示及分析单元</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（项号16）</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.7</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组织多普勒显示及分析单元</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（项号17）</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.8</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方向性彩色多普勒能量图成像单元</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先进的成像及定量技术</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（项号18）</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谐波成像技术</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（项号19）</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智能图像增强技术：可智能识别因强回声结构产生的声影区</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并动态补偿以减少声影对后方组织结构造成图像显示不清及声晕伪影等影响。</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（项号20）</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高清成像技术：具备对接收到的回波信号采用“反卷积算法”得到真实的图像</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还原在组织中线性传播的声波回波信号。提供重要的组织细节信息</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可支持线阵及凸阵探头</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（项号21）</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.4</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自适应彩色血流技术</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根据彩色取样框位置自动调节发射、接收频带宽</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提供最佳彩色灵敏度和分辨率</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（项号22）</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.5</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斑点噪声抑制技术</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（项号23）</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.6</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智能滤波技术：消除多维度的噪声伪像</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增强边缘显示</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逐级可调</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支持所有探头</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并可结合其它图像优化技术同时使用</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（项号24）</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.7</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空间复合成像</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可实现曲别针实验</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多级可调</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≥12级</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并应用于2D/彩色血流模式下</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（项号25）</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.8</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组织偏差校正技术：用户可选择声束在不同组织内的传播速度</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达到最佳成像效果</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（项号26）</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.9</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双幅实时动态显示功能</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同屏显示二维及彩色血流的实时图像</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不降低帧频</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不降低图像质量</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（项号27）</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.10</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多模态图像一键优化功能：通过一键操作</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迅速优化二维、彩色、多普勒频谱图像</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（项号28）</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.11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图标指示功能</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可任意选择剪贴板中存储的影像</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进行回放、调节、测量、分析和诊断</w:t>
      </w:r>
      <w:r>
        <w:rPr>
          <w:rFonts w:hint="eastAsia" w:asciiTheme="minorEastAsia" w:hAnsiTheme="minorEastAsia" w:eastAsiaTheme="minorEastAsia" w:cstheme="minorEastAsia"/>
          <w:bCs/>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（项号29）</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.12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全景成像：连续获取系列切面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自动快速无缝拼接为整幅图像</w:t>
      </w:r>
      <w:r>
        <w:rPr>
          <w:rFonts w:hint="eastAsia" w:asciiTheme="minorEastAsia" w:hAnsiTheme="minorEastAsia" w:eastAsiaTheme="minorEastAsia" w:cstheme="minorEastAsia"/>
          <w:color w:val="auto"/>
          <w:sz w:val="24"/>
          <w:szCs w:val="24"/>
          <w:highlight w:val="none"/>
          <w:lang w:eastAsia="zh-CN"/>
        </w:rPr>
        <w:t>。</w:t>
      </w:r>
    </w:p>
    <w:p>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项号30）</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.13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低速血流成像技术：基于时间空间相干成像原理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提取组织中的慢速血流或者微弱血流信号。同时具备定量分析功能：通过彩色部分的像素数与感兴趣区像素的比值得到VI（血管指数）</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可定量显示VI。</w:t>
      </w:r>
    </w:p>
    <w:p>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（项号31）</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.14</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立体血流显示技术</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利用冯氏光照模型</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更加直观的了解血流状况、小血管的结构和走形以及与周围组织的关系</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可以与彩色血流图、彩色能量图及微血流灌注成像联合使用。</w:t>
      </w:r>
    </w:p>
    <w:p>
      <w:pPr>
        <w:spacing w:line="360" w:lineRule="auto"/>
        <w:ind w:right="97" w:rightChars="46"/>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.15</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弹性成像单元</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可进行弹性定量</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且具备甲状腺专用、乳腺专用及肌骨专用的弹性成像和定量工具</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（项号32）</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.15.1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乳腺弹性成像：具备单取样和双取样两种模式。</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单感兴趣区取样技术</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由机器选择背景脂肪组织的平均应变值做参考</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操作者只需选取一次感兴趣区域即可快速自动获得目标应变值和参考应变值之间比值</w:t>
      </w:r>
      <w:r>
        <w:rPr>
          <w:rFonts w:hint="eastAsia" w:asciiTheme="minorEastAsia" w:hAnsi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双感兴趣区取样技术</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为操作者可自定义参考区和病变区</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系统即自动计算病变区域与正常组织的应变比B/A</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仪器内置弹性彩色编码指控标尺</w:t>
      </w:r>
      <w:r>
        <w:rPr>
          <w:rFonts w:hint="eastAsia" w:asciiTheme="minorEastAsia" w:hAnsi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（项号33）</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.15.2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甲状腺弹性成像：无需外部压力</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通过采集颈动脉波动对甲状腺组织产生的压力及应变力而获得甲状腺的弹性图像</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对甲状腺内感兴趣区内组织弹性的均匀度进行量化分析</w:t>
      </w:r>
    </w:p>
    <w:p>
      <w:pPr>
        <w:spacing w:line="360" w:lineRule="auto"/>
        <w:ind w:right="97" w:rightChars="4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项号34）</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.16</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智能扫查辅助诊断技术：可在机实现符合BI-RADS分类标准（乳腺）和TI-RADS标准（甲状腺）的数据及报告系统</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也可自动提供占位的多组声学特征</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包括病变形状、病变走向、边界、内部回声类型等。</w:t>
      </w:r>
    </w:p>
    <w:p>
      <w:pPr>
        <w:numPr>
          <w:ilvl w:val="0"/>
          <w:numId w:val="0"/>
        </w:numPr>
        <w:spacing w:line="360" w:lineRule="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感兴趣区定位</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自动识别、勾络病灶边界</w:t>
      </w:r>
      <w:r>
        <w:rPr>
          <w:rFonts w:hint="eastAsia" w:asciiTheme="minorEastAsia" w:hAnsiTheme="minorEastAsia" w:eastAsiaTheme="minorEastAsia" w:cstheme="minorEastAsia"/>
          <w:bCs/>
          <w:color w:val="auto"/>
          <w:sz w:val="24"/>
          <w:szCs w:val="24"/>
          <w:highlight w:val="none"/>
          <w:lang w:val="en-US" w:eastAsia="zh-CN"/>
        </w:rPr>
        <w:t>。</w:t>
      </w:r>
    </w:p>
    <w:p>
      <w:pPr>
        <w:numPr>
          <w:ilvl w:val="0"/>
          <w:numId w:val="0"/>
        </w:numPr>
        <w:spacing w:line="360" w:lineRule="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kern w:val="2"/>
          <w:sz w:val="24"/>
          <w:szCs w:val="24"/>
          <w:highlight w:val="none"/>
          <w:lang w:val="en-US" w:eastAsia="zh-CN" w:bidi="ar-SA"/>
        </w:rPr>
        <w:t>（2）</w:t>
      </w:r>
      <w:r>
        <w:rPr>
          <w:rFonts w:hint="eastAsia" w:asciiTheme="minorEastAsia" w:hAnsiTheme="minorEastAsia" w:eastAsiaTheme="minorEastAsia" w:cstheme="minorEastAsia"/>
          <w:bCs/>
          <w:color w:val="auto"/>
          <w:sz w:val="24"/>
          <w:szCs w:val="24"/>
          <w:highlight w:val="none"/>
        </w:rPr>
        <w:t>通过自动计算</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准确获取并显示病灶基本所需测量数值</w:t>
      </w:r>
      <w:r>
        <w:rPr>
          <w:rFonts w:hint="eastAsia" w:asciiTheme="minorEastAsia" w:hAnsiTheme="minorEastAsia" w:eastAsiaTheme="minorEastAsia" w:cstheme="minorEastAsia"/>
          <w:bCs/>
          <w:color w:val="auto"/>
          <w:sz w:val="24"/>
          <w:szCs w:val="24"/>
          <w:highlight w:val="none"/>
          <w:lang w:eastAsia="zh-CN"/>
        </w:rPr>
        <w:t>。</w:t>
      </w:r>
    </w:p>
    <w:p>
      <w:pPr>
        <w:spacing w:line="360" w:lineRule="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内置BI-RADS（或者TI-RADS、RUSS、ATA等）分类诊断模型</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并自动予以匹配</w:t>
      </w:r>
      <w:r>
        <w:rPr>
          <w:rFonts w:hint="eastAsia" w:asciiTheme="minorEastAsia" w:hAnsiTheme="minorEastAsia" w:eastAsiaTheme="minorEastAsia" w:cstheme="minorEastAsia"/>
          <w:bCs/>
          <w:color w:val="auto"/>
          <w:sz w:val="24"/>
          <w:szCs w:val="24"/>
          <w:highlight w:val="none"/>
          <w:lang w:eastAsia="zh-CN"/>
        </w:rPr>
        <w:t>。</w:t>
      </w:r>
    </w:p>
    <w:p>
      <w:pPr>
        <w:spacing w:line="360" w:lineRule="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任意添加分析后及检查图片到Report系统</w:t>
      </w:r>
      <w:r>
        <w:rPr>
          <w:rFonts w:hint="eastAsia" w:asciiTheme="minorEastAsia" w:hAnsiTheme="minorEastAsia" w:eastAsiaTheme="minorEastAsia" w:cstheme="minorEastAsia"/>
          <w:bCs/>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（项号35）</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.17</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增强造影成像技术</w:t>
      </w: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.17.1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具备低机械指数及高机械指数造影成像功能。</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.17.2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具备Flash爆破成像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快速廓清造影剂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以支持二次造影成像需求</w:t>
      </w: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.17.3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为多脉冲非对称脉冲波调制技术</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复合基波、谐波及脉冲反相谐波信号采集成像</w:t>
      </w: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.17.4</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具备双幅造影图像及基波图像同屏对比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双福图像可独立调节成像参数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具备双造影计时器。</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.17.5</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血管造影脉络图技术可一键描记造影剂按时间相的灌注轨迹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清晰记录病变组织滋养血管的分布及灌注路径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可多次成像</w:t>
      </w: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480" w:firstLineChars="20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.17.</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具备在机TIC曲线分析</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支持凸阵、线阵、腔内及容积探头的造影</w:t>
      </w:r>
      <w:r>
        <w:rPr>
          <w:rFonts w:hint="eastAsia" w:asciiTheme="minorEastAsia" w:hAnsiTheme="minorEastAsia" w:eastAsiaTheme="minorEastAsia" w:cstheme="minorEastAsia"/>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测量和分析部分</w:t>
      </w:r>
    </w:p>
    <w:p>
      <w:pPr>
        <w:spacing w:line="360" w:lineRule="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（项号36）</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一般测量：距离、周长、面积、体积、角度、百分比、曲线长度及不规则面积等</w:t>
      </w:r>
      <w:r>
        <w:rPr>
          <w:rFonts w:hint="eastAsia" w:asciiTheme="minorEastAsia" w:hAnsiTheme="minorEastAsia" w:eastAsiaTheme="minorEastAsia" w:cstheme="minorEastAsia"/>
          <w:bCs/>
          <w:color w:val="auto"/>
          <w:sz w:val="24"/>
          <w:szCs w:val="24"/>
          <w:highlight w:val="none"/>
          <w:lang w:val="en-US" w:eastAsia="zh-CN"/>
        </w:rPr>
        <w:t>。</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测量放大镜：可实时同步无失真放大测量取样区域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同屏双区域显示</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（项号37）</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腹部测量与分析</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（项号38）</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产科测量与分析</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具有胎儿体重孕龄评估</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生长曲线显示</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（项号39）</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妇科测量与分析</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（项号40）</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颈动脉测量与分析</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（项号41）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.6</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心脏测量与分析</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（项号42）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.7</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泌尿科测量与分析</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（项号43）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.8</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胎儿心脏测量与分析</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（项号44）</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.9</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上下肢动脉、上下肢静脉测量与分析</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（项号45）</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.10</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小儿髋关节测量</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探头规格</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（项号46）</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频率：所有探头均为超宽频变频电子探头</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支持频带发射与接收</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（项号47）</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支持3D成像</w:t>
      </w:r>
      <w:r>
        <w:rPr>
          <w:rFonts w:hint="eastAsia" w:asciiTheme="minorEastAsia" w:hAnsiTheme="minorEastAsia" w:eastAsiaTheme="minorEastAsia" w:cstheme="minorEastAsia"/>
          <w:bCs/>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探头规格</w:t>
      </w:r>
      <w:r>
        <w:rPr>
          <w:rFonts w:hint="eastAsia" w:asciiTheme="minorEastAsia" w:hAnsiTheme="minorEastAsia" w:eastAsiaTheme="minorEastAsia" w:cstheme="minorEastAsia"/>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（项号48）</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.3.1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性能：超宽频带变频探头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频段或频率数字双重显示模式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探头在二维模式下中心频率最大可选择≥3种；多普勒频率可最大选择≥2种；中心频率的变频频段及频率具体数字均可在屏幕上可视可调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必须具备单晶体探头技术</w:t>
      </w:r>
      <w:r>
        <w:rPr>
          <w:rFonts w:hint="eastAsia" w:asciiTheme="minorEastAsia" w:hAnsiTheme="minorEastAsia" w:eastAsiaTheme="minorEastAsia" w:cstheme="minorEastAsia"/>
          <w:color w:val="auto"/>
          <w:sz w:val="24"/>
          <w:szCs w:val="24"/>
          <w:highlight w:val="none"/>
          <w:lang w:eastAsia="zh-CN"/>
        </w:rPr>
        <w:t>。</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项号49）</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探头</w:t>
      </w:r>
      <w:r>
        <w:rPr>
          <w:rFonts w:hint="eastAsia" w:asciiTheme="minorEastAsia" w:hAnsiTheme="minorEastAsia" w:eastAsiaTheme="minorEastAsia" w:cstheme="minorEastAsia"/>
          <w:color w:val="auto"/>
          <w:sz w:val="24"/>
          <w:szCs w:val="24"/>
          <w:highlight w:val="none"/>
          <w:lang w:val="en-US" w:eastAsia="zh-CN"/>
        </w:rPr>
        <w:t>配置要求</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单晶体凸阵探头1-7MHz</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1把；</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血管线阵探头2-9MHz</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1把；</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（3）高频线阵探头3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MHz</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1把；</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腔内探头2-11MHz</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1把；</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（5）单晶体凸阵容积</w:t>
      </w:r>
      <w:r>
        <w:rPr>
          <w:rFonts w:hint="eastAsia" w:asciiTheme="minorEastAsia" w:hAnsiTheme="minorEastAsia" w:eastAsiaTheme="minorEastAsia" w:cstheme="minorEastAsia"/>
          <w:color w:val="auto"/>
          <w:sz w:val="24"/>
          <w:szCs w:val="24"/>
          <w:highlight w:val="none"/>
        </w:rPr>
        <w:t>探头</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MHz</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1把。</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（项号50）</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.4</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探头接口：</w:t>
      </w:r>
      <w:bookmarkStart w:id="0" w:name="_Hlk78550940"/>
      <w:r>
        <w:rPr>
          <w:rFonts w:hint="eastAsia" w:asciiTheme="minorEastAsia" w:hAnsiTheme="minorEastAsia" w:eastAsiaTheme="minorEastAsia" w:cstheme="minorEastAsia"/>
          <w:color w:val="auto"/>
          <w:sz w:val="24"/>
          <w:szCs w:val="24"/>
          <w:highlight w:val="none"/>
        </w:rPr>
        <w:t>同时激活探头接口≥4个</w:t>
      </w:r>
      <w:bookmarkEnd w:id="0"/>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均为无针式探头接口</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输入/输出信号：</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（项号51）</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输入：USB</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（项号52）</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输出：HDMI、S-VHS、VHS、VGA、音频输出、USB、DICOM 3.0、DICOM SR</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（项号53）</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主机内置一体化USB接口≥6个</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二维成像主要参数</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（项号54）</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扫描速率：相控阵探头</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全视野</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18cm深度时</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帧速度≥65帧/秒</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宋体" w:hAnsi="宋体" w:eastAsia="宋体" w:cs="宋体"/>
          <w:b w:val="0"/>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项号55）</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扫描线：</w:t>
      </w:r>
      <w:bookmarkStart w:id="1" w:name="OLE_LINK5"/>
      <w:r>
        <w:rPr>
          <w:rFonts w:hint="eastAsia" w:asciiTheme="minorEastAsia" w:hAnsiTheme="minorEastAsia" w:eastAsiaTheme="minorEastAsia" w:cstheme="minorEastAsia"/>
          <w:bCs/>
          <w:color w:val="auto"/>
          <w:sz w:val="24"/>
          <w:szCs w:val="24"/>
          <w:highlight w:val="none"/>
        </w:rPr>
        <w:t>每帧线密度</w:t>
      </w:r>
      <w:bookmarkEnd w:id="1"/>
      <w:r>
        <w:rPr>
          <w:rFonts w:hint="eastAsia" w:asciiTheme="minorEastAsia" w:hAnsiTheme="minorEastAsia" w:eastAsiaTheme="minorEastAsia" w:cstheme="minorEastAsia"/>
          <w:bCs/>
          <w:color w:val="auto"/>
          <w:sz w:val="24"/>
          <w:szCs w:val="24"/>
          <w:highlight w:val="none"/>
        </w:rPr>
        <w:t>≥1024超声线</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（项号56）</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声束聚焦：发射≥8段</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接收自动连续聚焦</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（项号57）</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.4</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接收方式：接收通道≥40,000,000</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多路信号并行处理</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（项号58）</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.5</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数字技术：接收数字式声束形成器</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连续动态聚焦</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可变孔径及动态变迹</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（项号59）</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.6</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线阵探头梯形成像技术</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支持所有成像模式</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（项号60）</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.7</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 xml:space="preserve">回放重现：2D灰阶图像回放≥12700帧 </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（项号61）</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.8</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预设条件：针对不同的检查脏器</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预置最佳化图像的检查条件</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减少操作时的调节</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及常用所需的外部调节及组合调节</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（项号62）</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.9</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增益调节：B、B/M、C、D可独立调节</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（项号63）</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.10</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数码TGC≥8段增益补偿调节</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（项号64）</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.11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最大扫查深度</w:t>
      </w:r>
      <w:r>
        <w:rPr>
          <w:rFonts w:hint="eastAsia" w:asciiTheme="minorEastAsia" w:hAnsiTheme="minorEastAsia" w:eastAsiaTheme="minorEastAsia" w:cstheme="minorEastAsia"/>
          <w:bCs/>
          <w:color w:val="auto"/>
          <w:sz w:val="24"/>
          <w:szCs w:val="24"/>
          <w:highlight w:val="none"/>
        </w:rPr>
        <w:t>≥45</w:t>
      </w:r>
      <w:r>
        <w:rPr>
          <w:rFonts w:hint="eastAsia" w:asciiTheme="minorEastAsia" w:hAnsiTheme="minorEastAsia" w:eastAsiaTheme="minorEastAsia" w:cstheme="minorEastAsia"/>
          <w:color w:val="auto"/>
          <w:sz w:val="24"/>
          <w:szCs w:val="24"/>
          <w:highlight w:val="none"/>
        </w:rPr>
        <w:t>cm</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最小显示深度</w:t>
      </w: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color w:val="auto"/>
          <w:sz w:val="24"/>
          <w:szCs w:val="24"/>
          <w:highlight w:val="none"/>
        </w:rPr>
        <w:t>cm</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频谱多普勒</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（项号65）</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方式：脉冲波多普勒（PW）、高脉冲重复频率（HPRF）、连续波多普勒（CW）</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（项号66）</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最大测量速度：（基线为零,量程范围最大</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无角度纠正时）PW：血流速度≥9m/s</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CW：血流速度≥17m/s</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（项号67）</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 xml:space="preserve">最低测量速度：≤1mm/s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（项号68）</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.4</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显示方式：B/D、B/C/D</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（项号69）</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.5</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多普勒电影回放：≥8192线</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（项号70）</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.6</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零位移动：≥8级</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（项号71）</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.7</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取样宽度及位置范围：多级可调</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最小取样宽度0.5mm</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最大20mm</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（项号72）</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.8</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实时多普勒频谱自动包络并完成频谱测量计算</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（项号73）</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.9</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实时三同步功能</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彩色多普勒</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（项号74）</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color w:val="auto"/>
          <w:sz w:val="24"/>
          <w:szCs w:val="24"/>
          <w:highlight w:val="none"/>
        </w:rPr>
        <w:t>彩色优化技术：提高帧频、提高彩色灵敏度</w:t>
      </w:r>
      <w:r>
        <w:rPr>
          <w:rFonts w:hint="eastAsia" w:asciiTheme="minorEastAsia" w:hAnsiTheme="minorEastAsia" w:eastAsiaTheme="minorEastAsia" w:cstheme="minorEastAsia"/>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（项号75）</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.2</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 xml:space="preserve">显示方式：速度方差显示、能量显示、速度显示、方差显示 </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（项号76）</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显示控制：</w:t>
      </w:r>
      <w:r>
        <w:rPr>
          <w:rFonts w:hint="eastAsia" w:asciiTheme="minorEastAsia" w:hAnsiTheme="minorEastAsia" w:eastAsiaTheme="minorEastAsia" w:cstheme="minorEastAsia"/>
          <w:color w:val="auto"/>
          <w:sz w:val="24"/>
          <w:szCs w:val="24"/>
          <w:highlight w:val="none"/>
        </w:rPr>
        <w:t>零位</w:t>
      </w:r>
      <w:r>
        <w:rPr>
          <w:rFonts w:hint="eastAsia" w:asciiTheme="minorEastAsia" w:hAnsiTheme="minorEastAsia" w:eastAsiaTheme="minorEastAsia" w:cstheme="minorEastAsia"/>
          <w:bCs/>
          <w:color w:val="auto"/>
          <w:sz w:val="24"/>
          <w:szCs w:val="24"/>
          <w:highlight w:val="none"/>
        </w:rPr>
        <w:t>移动、黑/白与彩色比较、彩色对比</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 xml:space="preserve"> </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（项号77）</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.4</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 xml:space="preserve">显示位置调整：线阵扫描感兴趣的图像范围：-20°～+20 </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（项号78）</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.5</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彩色标尺显示：基线居中时</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 xml:space="preserve">标尺显示最低血流测量速度≤0.8cm/s </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（项号79）</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.6</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彩色显示帧频：相控阵探头</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最大角度</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18cm深时</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彩色显示帧频≥11帧/s</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（项号80）</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.7</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彩色显示帧频：腹部凸阵探头</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最大角度</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18cm深时</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彩色显示帧频≥5帧/s</w:t>
      </w:r>
      <w:r>
        <w:rPr>
          <w:rFonts w:hint="eastAsia" w:asciiTheme="minorEastAsia" w:hAnsiTheme="minorEastAsia" w:eastAsiaTheme="minorEastAsia" w:cstheme="minorEastAsia"/>
          <w:bCs/>
          <w:color w:val="auto"/>
          <w:sz w:val="24"/>
          <w:szCs w:val="24"/>
          <w:highlight w:val="none"/>
          <w:lang w:eastAsia="zh-CN"/>
        </w:rPr>
        <w:t>。</w:t>
      </w:r>
    </w:p>
    <w:p>
      <w:pPr>
        <w:tabs>
          <w:tab w:val="left" w:pos="420"/>
        </w:tabs>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超声图像及病案管理系统：</w:t>
      </w:r>
    </w:p>
    <w:p>
      <w:pPr>
        <w:tabs>
          <w:tab w:val="left" w:pos="420"/>
        </w:tabs>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（项号81）</w:t>
      </w: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.1</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数字化SSD固态硬盘容量≥500GB</w:t>
      </w:r>
    </w:p>
    <w:p>
      <w:pPr>
        <w:tabs>
          <w:tab w:val="left" w:pos="420"/>
        </w:tabs>
        <w:spacing w:line="360" w:lineRule="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（项号82）</w:t>
      </w:r>
      <w:r>
        <w:rPr>
          <w:rFonts w:hint="eastAsia" w:asciiTheme="minorEastAsia" w:hAnsiTheme="minorEastAsia" w:eastAsiaTheme="minorEastAsia" w:cstheme="minorEastAsia"/>
          <w:bCs/>
          <w:color w:val="auto"/>
          <w:sz w:val="24"/>
          <w:szCs w:val="24"/>
          <w:highlight w:val="none"/>
          <w:lang w:val="en-US" w:eastAsia="zh-CN"/>
        </w:rPr>
        <w:t>11.2、</w:t>
      </w:r>
      <w:r>
        <w:rPr>
          <w:rFonts w:hint="eastAsia" w:asciiTheme="minorEastAsia" w:hAnsiTheme="minorEastAsia" w:eastAsiaTheme="minorEastAsia" w:cstheme="minorEastAsia"/>
          <w:bCs/>
          <w:color w:val="auto"/>
          <w:sz w:val="24"/>
          <w:szCs w:val="24"/>
          <w:highlight w:val="none"/>
        </w:rPr>
        <w:t>可永久存储动、静态图像</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屏幕可显示硬盘容量数据信息</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（项号83）</w:t>
      </w: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动态图像、静态图像以PC通用格式直接存储</w:t>
      </w:r>
      <w:r>
        <w:rPr>
          <w:rFonts w:hint="eastAsia" w:asciiTheme="minorEastAsia" w:hAnsiTheme="minorEastAsia" w:eastAsiaTheme="minorEastAsia" w:cstheme="minorEastAsia"/>
          <w:bCs/>
          <w:color w:val="auto"/>
          <w:sz w:val="24"/>
          <w:szCs w:val="24"/>
          <w:highlight w:val="none"/>
          <w:lang w:val="en-US"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（项号84）</w:t>
      </w:r>
      <w:r>
        <w:rPr>
          <w:rFonts w:hint="eastAsia" w:asciiTheme="minorEastAsia" w:hAnsiTheme="minorEastAsia" w:eastAsiaTheme="minorEastAsia" w:cstheme="minorEastAsia"/>
          <w:bCs/>
          <w:color w:val="auto"/>
          <w:sz w:val="24"/>
          <w:szCs w:val="24"/>
          <w:highlight w:val="none"/>
          <w:lang w:val="en-US" w:eastAsia="zh-CN"/>
        </w:rPr>
        <w:t>11.4、</w:t>
      </w:r>
      <w:r>
        <w:rPr>
          <w:rFonts w:hint="eastAsia" w:asciiTheme="minorEastAsia" w:hAnsiTheme="minorEastAsia" w:eastAsiaTheme="minorEastAsia" w:cstheme="minorEastAsia"/>
          <w:bCs/>
          <w:color w:val="auto"/>
          <w:sz w:val="24"/>
          <w:szCs w:val="24"/>
          <w:highlight w:val="none"/>
        </w:rPr>
        <w:t>无需特殊软件即能在普通PC机上直接观看图像</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（项号85）</w:t>
      </w: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具有图像存储与（电影）回放重现单元</w:t>
      </w:r>
      <w:r>
        <w:rPr>
          <w:rFonts w:hint="eastAsia" w:asciiTheme="minorEastAsia" w:hAnsiTheme="minorEastAsia" w:eastAsiaTheme="minorEastAsia" w:cstheme="minorEastAsia"/>
          <w:bCs/>
          <w:color w:val="auto"/>
          <w:sz w:val="24"/>
          <w:szCs w:val="24"/>
          <w:highlight w:val="none"/>
          <w:lang w:eastAsia="zh-CN"/>
        </w:rPr>
        <w:t>。</w:t>
      </w:r>
    </w:p>
    <w:p>
      <w:pPr>
        <w:spacing w:line="360" w:lineRule="auto"/>
        <w:ind w:right="97" w:rightChars="46"/>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（项号86）</w:t>
      </w: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Theme="minorEastAsia" w:hAnsiTheme="minorEastAsia" w:eastAsiaTheme="minorEastAsia" w:cstheme="minorEastAsia"/>
          <w:bCs/>
          <w:color w:val="auto"/>
          <w:sz w:val="24"/>
          <w:szCs w:val="24"/>
          <w:highlight w:val="none"/>
        </w:rPr>
        <w:t>可批量、选择性输出图像</w:t>
      </w:r>
      <w:r>
        <w:rPr>
          <w:rFonts w:hint="eastAsia" w:asciiTheme="minorEastAsia" w:hAnsiTheme="minorEastAsia" w:eastAsiaTheme="minorEastAsia" w:cstheme="minorEastAsia"/>
          <w:bCs/>
          <w:color w:val="auto"/>
          <w:sz w:val="24"/>
          <w:szCs w:val="24"/>
          <w:highlight w:val="none"/>
          <w:lang w:eastAsia="zh-CN"/>
        </w:rPr>
        <w:t>。</w:t>
      </w:r>
    </w:p>
    <w:p>
      <w:pPr>
        <w:spacing w:line="360" w:lineRule="auto"/>
        <w:jc w:val="both"/>
        <w:rPr>
          <w:rFonts w:hint="eastAsia" w:ascii="宋体" w:hAnsi="宋体" w:cs="宋体"/>
          <w:b/>
          <w:bCs/>
          <w:color w:val="auto"/>
          <w:kern w:val="0"/>
          <w:sz w:val="24"/>
          <w:szCs w:val="24"/>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t>采购包</w:t>
      </w:r>
      <w:r>
        <w:rPr>
          <w:rFonts w:hint="eastAsia" w:asciiTheme="minorEastAsia" w:hAnsiTheme="minorEastAsia" w:cstheme="minorEastAsia"/>
          <w:b/>
          <w:color w:val="auto"/>
          <w:sz w:val="32"/>
          <w:szCs w:val="32"/>
          <w:highlight w:val="none"/>
          <w:lang w:val="en-US" w:eastAsia="zh-CN"/>
        </w:rPr>
        <w:t>3</w:t>
      </w:r>
      <w:r>
        <w:rPr>
          <w:rFonts w:hint="eastAsia" w:ascii="宋体" w:hAnsi="宋体" w:eastAsia="宋体" w:cs="宋体"/>
          <w:b/>
          <w:color w:val="auto"/>
          <w:sz w:val="32"/>
          <w:szCs w:val="32"/>
          <w:highlight w:val="none"/>
          <w:lang w:val="en-US" w:eastAsia="zh-CN"/>
        </w:rPr>
        <w:t>◆彩色多普勒超声诊断仪</w:t>
      </w:r>
      <w:r>
        <w:rPr>
          <w:rFonts w:hint="eastAsia" w:asciiTheme="minorEastAsia" w:hAnsiTheme="minorEastAsia" w:eastAsiaTheme="minorEastAsia" w:cstheme="minorEastAsia"/>
          <w:b/>
          <w:color w:val="auto"/>
          <w:sz w:val="32"/>
          <w:szCs w:val="32"/>
          <w:highlight w:val="none"/>
          <w:lang w:val="en-US" w:eastAsia="zh-CN"/>
        </w:rPr>
        <w:t>--技术参数</w:t>
      </w:r>
    </w:p>
    <w:p>
      <w:pPr>
        <w:widowControl/>
        <w:overflowPunct w:val="0"/>
        <w:autoSpaceDE w:val="0"/>
        <w:autoSpaceDN w:val="0"/>
        <w:adjustRightInd w:val="0"/>
        <w:spacing w:line="360" w:lineRule="auto"/>
        <w:jc w:val="left"/>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（项号1）</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、用途：</w:t>
      </w:r>
      <w:r>
        <w:rPr>
          <w:rFonts w:hint="eastAsia" w:ascii="宋体" w:hAnsi="宋体" w:eastAsia="宋体" w:cs="宋体"/>
          <w:color w:val="auto"/>
          <w:sz w:val="24"/>
          <w:szCs w:val="24"/>
          <w:highlight w:val="none"/>
        </w:rPr>
        <w:t>主要用于腹部、妇产、胎儿心脏、成人心脏、经食道心脏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泌尿、新生儿、小儿、血管（外周、颅脑、腹部）、小器官、骨骼肌肉、神经、术中，造影、介入</w:t>
      </w:r>
      <w:r>
        <w:rPr>
          <w:rFonts w:hint="eastAsia" w:ascii="宋体" w:hAnsi="宋体" w:eastAsia="宋体" w:cs="宋体"/>
          <w:color w:val="auto"/>
          <w:sz w:val="24"/>
          <w:szCs w:val="24"/>
          <w:highlight w:val="none"/>
        </w:rPr>
        <w:t>等方面的临床诊断和科研教学工作，具有世界先进水平，具备持续升级能力，能满足开展新的临床应用需求。</w:t>
      </w:r>
      <w:r>
        <w:rPr>
          <w:rFonts w:hint="eastAsia" w:ascii="宋体" w:hAnsi="宋体" w:eastAsia="宋体" w:cs="宋体"/>
          <w:color w:val="auto"/>
          <w:kern w:val="0"/>
          <w:sz w:val="24"/>
          <w:szCs w:val="24"/>
          <w:highlight w:val="none"/>
        </w:rPr>
        <w:t xml:space="preserve">    </w:t>
      </w:r>
    </w:p>
    <w:p>
      <w:pPr>
        <w:widowControl/>
        <w:overflowPunct w:val="0"/>
        <w:autoSpaceDE w:val="0"/>
        <w:autoSpaceDN w:val="0"/>
        <w:adjustRightInd w:val="0"/>
        <w:spacing w:line="360" w:lineRule="auto"/>
        <w:jc w:val="left"/>
        <w:textAlignment w:val="baseline"/>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、主要技术规格及系统概述：</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主机成像系统：</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b/>
          <w:bCs/>
          <w:color w:val="auto"/>
          <w:kern w:val="0"/>
          <w:sz w:val="24"/>
          <w:szCs w:val="24"/>
          <w:highlight w:val="none"/>
          <w:lang w:val="en-US" w:eastAsia="zh-CN"/>
        </w:rPr>
        <w:t>项号2）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高分辨率液晶显示器≥23.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英寸分辨率≥1920×1080,无闪烁，不间断逐行扫描，可上下左右任意旋转，可前后折叠。</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b/>
          <w:bCs/>
          <w:color w:val="auto"/>
          <w:kern w:val="0"/>
          <w:sz w:val="24"/>
          <w:szCs w:val="24"/>
          <w:highlight w:val="none"/>
          <w:lang w:val="en-US" w:eastAsia="zh-CN"/>
        </w:rPr>
        <w:t>项号3）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操作面板具备液晶触摸屏≥12英寸,可通过手指滑动触摸屏进行翻页，直接点击触摸屏即可选择需要调节的参数，操作面板可上下左右进行高度调整及旋转，最大旋转角度达720度。</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.1.3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全新集束精准发射技术</w:t>
      </w:r>
      <w:r>
        <w:rPr>
          <w:rFonts w:hint="eastAsia" w:ascii="宋体" w:hAnsi="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脉冲优化处理技术</w:t>
      </w:r>
      <w:r>
        <w:rPr>
          <w:rFonts w:hint="eastAsia" w:ascii="宋体" w:hAnsi="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海量并行处理技术</w:t>
      </w:r>
      <w:r>
        <w:rPr>
          <w:rFonts w:hint="eastAsia" w:ascii="宋体" w:hAnsi="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（项号7）</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自适应增益补偿技术</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（项号8）</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数字化二维灰阶成像及M型显像单元</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（项号9）</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解剖M型技术,可360度任意旋转M型取样线角度方便准确的进行测量,</w:t>
      </w:r>
      <w:bookmarkStart w:id="2" w:name="_Hlk72913048"/>
      <w:r>
        <w:rPr>
          <w:rFonts w:hint="eastAsia" w:ascii="宋体" w:hAnsi="宋体" w:eastAsia="宋体" w:cs="宋体"/>
          <w:color w:val="auto"/>
          <w:sz w:val="24"/>
          <w:szCs w:val="24"/>
          <w:highlight w:val="none"/>
        </w:rPr>
        <w:t>支持所有探头</w:t>
      </w:r>
      <w:r>
        <w:rPr>
          <w:rFonts w:hint="eastAsia" w:ascii="宋体" w:hAnsi="宋体" w:cs="宋体"/>
          <w:color w:val="auto"/>
          <w:sz w:val="24"/>
          <w:szCs w:val="24"/>
          <w:highlight w:val="none"/>
          <w:lang w:eastAsia="zh-CN"/>
        </w:rPr>
        <w:t>。</w:t>
      </w:r>
    </w:p>
    <w:bookmarkEnd w:id="2"/>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（项号10）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脉冲反向谐波成像单元；</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（项号11）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彩色多普勒成像技术；</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彩色多普勒能量图技术；</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（项号13）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.1.12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方向性能量图技术</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（项号14）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.1.13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数字化频谱多普勒显示和分析单元 (包括 PW 、CW和 HPRF)；</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（项号15）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.1.14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动态范围≥320dB</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val="en-US" w:eastAsia="zh-CN"/>
        </w:rPr>
        <w:t>（项号16）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.1.15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数字化通道≥7,0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000</w:t>
      </w:r>
      <w:r>
        <w:rPr>
          <w:rFonts w:hint="eastAsia" w:ascii="宋体" w:hAnsi="宋体" w:cs="宋体"/>
          <w:color w:val="auto"/>
          <w:sz w:val="24"/>
          <w:szCs w:val="24"/>
          <w:highlight w:val="none"/>
          <w:lang w:val="en-US"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（项号17）</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.1.16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智能全程聚焦技术；</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（项号18）</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.1.17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智能化一键图像优化技术；可自适应调整图像的增益等参数获取最佳图像</w:t>
      </w:r>
      <w:r>
        <w:rPr>
          <w:rFonts w:hint="eastAsia" w:ascii="宋体" w:hAnsi="宋体" w:cs="宋体"/>
          <w:color w:val="auto"/>
          <w:sz w:val="24"/>
          <w:szCs w:val="24"/>
          <w:highlight w:val="none"/>
          <w:lang w:eastAsia="zh-CN"/>
        </w:rPr>
        <w:t>。</w:t>
      </w:r>
    </w:p>
    <w:p>
      <w:pPr>
        <w:widowControl/>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（项号19）</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.1.18</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空间复合成像技术，同时作用于发射和接收（作曲别针试验），支持所有凸阵、微凸阵和线阵成像探头</w:t>
      </w:r>
      <w:r>
        <w:rPr>
          <w:rFonts w:hint="eastAsia" w:ascii="宋体" w:hAnsi="宋体" w:cs="宋体"/>
          <w:color w:val="auto"/>
          <w:kern w:val="0"/>
          <w:sz w:val="24"/>
          <w:szCs w:val="24"/>
          <w:highlight w:val="none"/>
          <w:lang w:eastAsia="zh-CN"/>
        </w:rPr>
        <w:t>。</w:t>
      </w:r>
    </w:p>
    <w:p>
      <w:pPr>
        <w:widowControl/>
        <w:spacing w:line="360" w:lineRule="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（项号20）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.1.19</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自适应核磁像素优化技术，改善边界显示，提高分辨率，减少伪像，支持所有成像探头，可分级调节≥5级。</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（项号21）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.1.20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内置 DICOM 3.0 标准输出接口；</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（项号22）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.1.21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内有一体化超声工作站；</w:t>
      </w:r>
    </w:p>
    <w:p>
      <w:pPr>
        <w:widowControl/>
        <w:overflowPunct w:val="0"/>
        <w:autoSpaceDE w:val="0"/>
        <w:autoSpaceDN w:val="0"/>
        <w:adjustRightInd w:val="0"/>
        <w:spacing w:line="360" w:lineRule="auto"/>
        <w:ind w:right="-180"/>
        <w:textAlignment w:val="baseline"/>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先进成像技术：</w:t>
      </w:r>
    </w:p>
    <w:p>
      <w:pPr>
        <w:widowControl/>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b/>
          <w:bCs/>
          <w:color w:val="auto"/>
          <w:kern w:val="0"/>
          <w:sz w:val="24"/>
          <w:szCs w:val="24"/>
          <w:highlight w:val="none"/>
          <w:lang w:val="en-US" w:eastAsia="zh-CN"/>
        </w:rPr>
        <w:t>项号23）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具备全屏高清放大功能，放大后图像显示区域尺寸≥23.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”，显示比例≥16：9，分辨率≥1080p（1920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1080）</w:t>
      </w:r>
      <w:r>
        <w:rPr>
          <w:rFonts w:hint="eastAsia" w:ascii="宋体" w:hAnsi="宋体" w:cs="宋体"/>
          <w:color w:val="auto"/>
          <w:sz w:val="24"/>
          <w:szCs w:val="24"/>
          <w:highlight w:val="none"/>
          <w:lang w:eastAsia="zh-CN"/>
        </w:rPr>
        <w:t>。</w:t>
      </w:r>
    </w:p>
    <w:p>
      <w:pPr>
        <w:pStyle w:val="10"/>
        <w:spacing w:line="360" w:lineRule="auto"/>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（项号24）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超声声速自动校正技术</w:t>
      </w:r>
    </w:p>
    <w:p>
      <w:pPr>
        <w:numPr>
          <w:ilvl w:val="0"/>
          <w:numId w:val="0"/>
        </w:num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2.2.2.1</w:t>
      </w:r>
      <w:r>
        <w:rPr>
          <w:rFonts w:hint="eastAsia" w:ascii="宋体" w:hAnsi="宋体" w:eastAsia="宋体" w:cs="宋体"/>
          <w:color w:val="auto"/>
          <w:kern w:val="0"/>
          <w:sz w:val="24"/>
          <w:szCs w:val="24"/>
          <w:highlight w:val="none"/>
        </w:rPr>
        <w:t>针对肥胖及困难病人</w:t>
      </w:r>
      <w:r>
        <w:rPr>
          <w:rFonts w:hint="eastAsia" w:ascii="宋体" w:hAnsi="宋体" w:cs="宋体"/>
          <w:color w:val="auto"/>
          <w:kern w:val="0"/>
          <w:sz w:val="24"/>
          <w:szCs w:val="24"/>
          <w:highlight w:val="none"/>
          <w:lang w:eastAsia="zh-CN"/>
        </w:rPr>
        <w:t>；</w:t>
      </w:r>
    </w:p>
    <w:p>
      <w:pPr>
        <w:numPr>
          <w:ilvl w:val="0"/>
          <w:numId w:val="0"/>
        </w:num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2.2.2.2</w:t>
      </w:r>
      <w:r>
        <w:rPr>
          <w:rFonts w:hint="eastAsia" w:ascii="宋体" w:hAnsi="宋体" w:eastAsia="宋体" w:cs="宋体"/>
          <w:color w:val="auto"/>
          <w:kern w:val="0"/>
          <w:sz w:val="24"/>
          <w:szCs w:val="24"/>
          <w:highlight w:val="none"/>
        </w:rPr>
        <w:t>可用于乳腺检查，并可调整级别</w:t>
      </w:r>
      <w:r>
        <w:rPr>
          <w:rFonts w:hint="eastAsia" w:ascii="宋体" w:hAnsi="宋体" w:cs="宋体"/>
          <w:color w:val="auto"/>
          <w:kern w:val="0"/>
          <w:sz w:val="24"/>
          <w:szCs w:val="24"/>
          <w:highlight w:val="none"/>
          <w:lang w:eastAsia="zh-CN"/>
        </w:rPr>
        <w:t>；</w:t>
      </w:r>
    </w:p>
    <w:p>
      <w:pPr>
        <w:numPr>
          <w:ilvl w:val="0"/>
          <w:numId w:val="0"/>
        </w:num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2.2.2.3</w:t>
      </w:r>
      <w:r>
        <w:rPr>
          <w:rFonts w:hint="eastAsia" w:ascii="宋体" w:hAnsi="宋体" w:eastAsia="宋体" w:cs="宋体"/>
          <w:color w:val="auto"/>
          <w:kern w:val="0"/>
          <w:sz w:val="24"/>
          <w:szCs w:val="24"/>
          <w:highlight w:val="none"/>
        </w:rPr>
        <w:t>专门的预置条件</w:t>
      </w:r>
      <w:r>
        <w:rPr>
          <w:rFonts w:hint="eastAsia" w:ascii="宋体" w:hAnsi="宋体" w:cs="宋体"/>
          <w:color w:val="auto"/>
          <w:kern w:val="0"/>
          <w:sz w:val="24"/>
          <w:szCs w:val="24"/>
          <w:highlight w:val="none"/>
          <w:lang w:val="en-US" w:eastAsia="zh-CN"/>
        </w:rPr>
        <w:t>。</w:t>
      </w:r>
    </w:p>
    <w:p>
      <w:pPr>
        <w:spacing w:line="360" w:lineRule="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（项号25）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组织多普勒技术(TDI/或DTI)，具有彩色，谐波，PW， M型多种模式，并有在机应变及应变率定量分析工具。</w:t>
      </w:r>
    </w:p>
    <w:p>
      <w:pPr>
        <w:spacing w:line="360" w:lineRule="auto"/>
        <w:rPr>
          <w:rFonts w:hint="eastAsia" w:ascii="宋体" w:hAnsi="宋体" w:eastAsia="宋体" w:cs="宋体"/>
          <w:bCs/>
          <w:color w:val="auto"/>
          <w:sz w:val="24"/>
          <w:szCs w:val="24"/>
          <w:highlight w:val="none"/>
        </w:rPr>
      </w:pPr>
      <w:r>
        <w:rPr>
          <w:rFonts w:hint="eastAsia" w:ascii="宋体" w:hAnsi="宋体" w:cs="宋体"/>
          <w:b/>
          <w:bCs/>
          <w:color w:val="auto"/>
          <w:kern w:val="0"/>
          <w:sz w:val="24"/>
          <w:szCs w:val="24"/>
          <w:highlight w:val="none"/>
          <w:lang w:val="en-US" w:eastAsia="zh-CN"/>
        </w:rPr>
        <w:t>（项号26）</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4</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多影像实时对比联合诊断技术：主机可直接获取和浏览CT/NM/MR，乳房X线/超声的DICOM图像，同屏对比既往和目前的超声图像，回顾实时的、存储的、输出的图像进行对比诊断。</w:t>
      </w:r>
    </w:p>
    <w:p>
      <w:pPr>
        <w:widowControl/>
        <w:overflowPunct w:val="0"/>
        <w:autoSpaceDE w:val="0"/>
        <w:autoSpaceDN w:val="0"/>
        <w:adjustRightInd w:val="0"/>
        <w:spacing w:line="360" w:lineRule="auto"/>
        <w:jc w:val="left"/>
        <w:textAlignment w:val="baseline"/>
        <w:rPr>
          <w:rFonts w:hint="eastAsia" w:ascii="宋体" w:hAnsi="宋体" w:eastAsia="宋体" w:cs="宋体"/>
          <w:bCs/>
          <w:color w:val="auto"/>
          <w:sz w:val="24"/>
          <w:szCs w:val="24"/>
          <w:highlight w:val="none"/>
        </w:rPr>
      </w:pPr>
      <w:r>
        <w:rPr>
          <w:rFonts w:hint="eastAsia" w:ascii="宋体" w:hAnsi="宋体" w:cs="宋体"/>
          <w:b/>
          <w:bCs/>
          <w:color w:val="auto"/>
          <w:kern w:val="0"/>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b/>
          <w:bCs/>
          <w:color w:val="auto"/>
          <w:kern w:val="0"/>
          <w:sz w:val="24"/>
          <w:szCs w:val="24"/>
          <w:highlight w:val="none"/>
          <w:lang w:val="en-US" w:eastAsia="zh-CN"/>
        </w:rPr>
        <w:t>项号27）</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术者模式，可实时双屏显示，主屏幕与触摸屏实时同步显示扫描图像。</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造影成像技术</w:t>
      </w:r>
      <w:r>
        <w:rPr>
          <w:rFonts w:hint="eastAsia" w:ascii="宋体" w:hAnsi="宋体" w:cs="宋体"/>
          <w:color w:val="auto"/>
          <w:sz w:val="24"/>
          <w:szCs w:val="24"/>
          <w:highlight w:val="none"/>
          <w:lang w:eastAsia="zh-CN"/>
        </w:rPr>
        <w:t>：</w:t>
      </w:r>
    </w:p>
    <w:p>
      <w:pPr>
        <w:widowControl/>
        <w:numPr>
          <w:ilvl w:val="0"/>
          <w:numId w:val="0"/>
        </w:numPr>
        <w:overflowPunct w:val="0"/>
        <w:autoSpaceDE w:val="0"/>
        <w:autoSpaceDN w:val="0"/>
        <w:adjustRightInd w:val="0"/>
        <w:spacing w:line="360" w:lineRule="auto"/>
        <w:ind w:right="-180" w:rightChars="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（项号28）</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6.1 </w:t>
      </w:r>
      <w:r>
        <w:rPr>
          <w:rFonts w:hint="eastAsia" w:ascii="宋体" w:hAnsi="宋体" w:eastAsia="宋体" w:cs="宋体"/>
          <w:color w:val="auto"/>
          <w:sz w:val="24"/>
          <w:szCs w:val="24"/>
          <w:highlight w:val="none"/>
        </w:rPr>
        <w:t>高帧频造影模式：凸阵造影帧频≥50帧/秒；线阵造影帧频≥90帧/秒。</w:t>
      </w:r>
    </w:p>
    <w:p>
      <w:pPr>
        <w:widowControl/>
        <w:numPr>
          <w:ilvl w:val="0"/>
          <w:numId w:val="0"/>
        </w:numPr>
        <w:overflowPunct w:val="0"/>
        <w:autoSpaceDE w:val="0"/>
        <w:autoSpaceDN w:val="0"/>
        <w:adjustRightInd w:val="0"/>
        <w:spacing w:line="360" w:lineRule="auto"/>
        <w:ind w:right="-180" w:rightChars="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（项号29）</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6.2 </w:t>
      </w:r>
      <w:r>
        <w:rPr>
          <w:rFonts w:hint="eastAsia" w:ascii="宋体" w:hAnsi="宋体" w:eastAsia="宋体" w:cs="宋体"/>
          <w:color w:val="auto"/>
          <w:sz w:val="24"/>
          <w:szCs w:val="24"/>
          <w:highlight w:val="none"/>
        </w:rPr>
        <w:t>造影剂二次谐波成像单元,包含低MI实时灌注成像、中MI造影成像和高MI造影成像，采用脉冲反相谐波技术、能量调制技术以及多脉冲序列谐波造影技术。</w:t>
      </w:r>
    </w:p>
    <w:p>
      <w:pPr>
        <w:widowControl/>
        <w:numPr>
          <w:ilvl w:val="0"/>
          <w:numId w:val="0"/>
        </w:numPr>
        <w:overflowPunct w:val="0"/>
        <w:autoSpaceDE w:val="0"/>
        <w:autoSpaceDN w:val="0"/>
        <w:adjustRightInd w:val="0"/>
        <w:spacing w:line="360" w:lineRule="auto"/>
        <w:ind w:right="-180" w:rightChars="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（项号30）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6.3 </w:t>
      </w:r>
      <w:r>
        <w:rPr>
          <w:rFonts w:hint="eastAsia" w:ascii="宋体" w:hAnsi="宋体" w:eastAsia="宋体" w:cs="宋体"/>
          <w:color w:val="auto"/>
          <w:sz w:val="24"/>
          <w:szCs w:val="24"/>
          <w:highlight w:val="none"/>
        </w:rPr>
        <w:t>可与复合成像技术、核磁像素优化技术结合使用</w:t>
      </w:r>
      <w:r>
        <w:rPr>
          <w:rFonts w:hint="eastAsia" w:ascii="宋体" w:hAnsi="宋体" w:cs="宋体"/>
          <w:color w:val="auto"/>
          <w:sz w:val="24"/>
          <w:szCs w:val="24"/>
          <w:highlight w:val="none"/>
          <w:lang w:eastAsia="zh-CN"/>
        </w:rPr>
        <w:t>。</w:t>
      </w:r>
    </w:p>
    <w:p>
      <w:pPr>
        <w:widowControl/>
        <w:numPr>
          <w:ilvl w:val="0"/>
          <w:numId w:val="0"/>
        </w:numPr>
        <w:overflowPunct w:val="0"/>
        <w:autoSpaceDE w:val="0"/>
        <w:autoSpaceDN w:val="0"/>
        <w:adjustRightInd w:val="0"/>
        <w:spacing w:line="360" w:lineRule="auto"/>
        <w:ind w:right="-180" w:rightChars="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宋体" w:hAnsi="宋体" w:cs="宋体"/>
          <w:b/>
          <w:bCs/>
          <w:color w:val="auto"/>
          <w:kern w:val="0"/>
          <w:sz w:val="24"/>
          <w:szCs w:val="24"/>
          <w:highlight w:val="none"/>
          <w:lang w:val="en-US" w:eastAsia="zh-CN"/>
        </w:rPr>
        <w:t>项号31）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6.4 </w:t>
      </w:r>
      <w:r>
        <w:rPr>
          <w:rFonts w:hint="eastAsia" w:ascii="宋体" w:hAnsi="宋体" w:eastAsia="宋体" w:cs="宋体"/>
          <w:color w:val="auto"/>
          <w:sz w:val="24"/>
          <w:szCs w:val="24"/>
          <w:highlight w:val="none"/>
        </w:rPr>
        <w:t>具有实时双幅造影对比成像模式，并可进行双幅实时同步测量</w:t>
      </w:r>
      <w:r>
        <w:rPr>
          <w:rFonts w:hint="eastAsia" w:ascii="宋体" w:hAnsi="宋体" w:cs="宋体"/>
          <w:color w:val="auto"/>
          <w:sz w:val="24"/>
          <w:szCs w:val="24"/>
          <w:highlight w:val="none"/>
          <w:lang w:eastAsia="zh-CN"/>
        </w:rPr>
        <w:t>。</w:t>
      </w:r>
    </w:p>
    <w:p>
      <w:pPr>
        <w:widowControl/>
        <w:numPr>
          <w:ilvl w:val="0"/>
          <w:numId w:val="0"/>
        </w:numPr>
        <w:overflowPunct w:val="0"/>
        <w:autoSpaceDE w:val="0"/>
        <w:autoSpaceDN w:val="0"/>
        <w:adjustRightInd w:val="0"/>
        <w:spacing w:line="360" w:lineRule="auto"/>
        <w:ind w:right="-180" w:rightChars="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（项号32）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6.5 </w:t>
      </w:r>
      <w:r>
        <w:rPr>
          <w:rFonts w:hint="eastAsia" w:ascii="宋体" w:hAnsi="宋体" w:eastAsia="宋体" w:cs="宋体"/>
          <w:color w:val="auto"/>
          <w:sz w:val="24"/>
          <w:szCs w:val="24"/>
          <w:highlight w:val="none"/>
        </w:rPr>
        <w:t>具有相交互两个平面同屏同时相实时显示造影成像技术</w:t>
      </w:r>
      <w:r>
        <w:rPr>
          <w:rFonts w:hint="eastAsia" w:ascii="宋体" w:hAnsi="宋体" w:cs="宋体"/>
          <w:color w:val="auto"/>
          <w:sz w:val="24"/>
          <w:szCs w:val="24"/>
          <w:highlight w:val="none"/>
          <w:lang w:eastAsia="zh-CN"/>
        </w:rPr>
        <w:t>。</w:t>
      </w:r>
    </w:p>
    <w:p>
      <w:pPr>
        <w:widowControl/>
        <w:numPr>
          <w:ilvl w:val="0"/>
          <w:numId w:val="0"/>
        </w:numPr>
        <w:overflowPunct w:val="0"/>
        <w:autoSpaceDE w:val="0"/>
        <w:autoSpaceDN w:val="0"/>
        <w:adjustRightInd w:val="0"/>
        <w:spacing w:line="360" w:lineRule="auto"/>
        <w:ind w:right="-180" w:rightChars="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（项号33）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6.6</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具有二维及三维造影技术</w:t>
      </w:r>
      <w:r>
        <w:rPr>
          <w:rFonts w:hint="eastAsia" w:ascii="宋体" w:hAnsi="宋体" w:cs="宋体"/>
          <w:color w:val="auto"/>
          <w:sz w:val="24"/>
          <w:szCs w:val="24"/>
          <w:highlight w:val="none"/>
          <w:lang w:eastAsia="zh-CN"/>
        </w:rPr>
        <w:t>。</w:t>
      </w:r>
    </w:p>
    <w:p>
      <w:pPr>
        <w:widowControl/>
        <w:numPr>
          <w:ilvl w:val="0"/>
          <w:numId w:val="0"/>
        </w:numPr>
        <w:overflowPunct w:val="0"/>
        <w:autoSpaceDE w:val="0"/>
        <w:autoSpaceDN w:val="0"/>
        <w:adjustRightInd w:val="0"/>
        <w:spacing w:line="360" w:lineRule="auto"/>
        <w:ind w:right="-180" w:rightChars="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（项号34）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6.7 </w:t>
      </w:r>
      <w:r>
        <w:rPr>
          <w:rFonts w:hint="eastAsia" w:ascii="宋体" w:hAnsi="宋体" w:eastAsia="宋体" w:cs="宋体"/>
          <w:color w:val="auto"/>
          <w:sz w:val="24"/>
          <w:szCs w:val="24"/>
          <w:highlight w:val="none"/>
        </w:rPr>
        <w:t>造影技术支持凸阵，线阵，腔内探头，微凸探头，可满足临床对腹部、妇产、浅表、乳腺、血管、腔内的前列腺、经阴道妇科以及三维成像等需求</w:t>
      </w:r>
      <w:r>
        <w:rPr>
          <w:rFonts w:hint="eastAsia" w:ascii="宋体" w:hAnsi="宋体" w:cs="宋体"/>
          <w:color w:val="auto"/>
          <w:sz w:val="24"/>
          <w:szCs w:val="24"/>
          <w:highlight w:val="none"/>
          <w:lang w:eastAsia="zh-CN"/>
        </w:rPr>
        <w:t>。</w:t>
      </w:r>
    </w:p>
    <w:p>
      <w:pPr>
        <w:widowControl/>
        <w:numPr>
          <w:ilvl w:val="0"/>
          <w:numId w:val="0"/>
        </w:numPr>
        <w:overflowPunct w:val="0"/>
        <w:autoSpaceDE w:val="0"/>
        <w:autoSpaceDN w:val="0"/>
        <w:adjustRightInd w:val="0"/>
        <w:spacing w:line="360" w:lineRule="auto"/>
        <w:ind w:right="-180" w:rightChars="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（项号35）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6.8 </w:t>
      </w:r>
      <w:r>
        <w:rPr>
          <w:rFonts w:hint="eastAsia" w:ascii="宋体" w:hAnsi="宋体" w:eastAsia="宋体" w:cs="宋体"/>
          <w:color w:val="auto"/>
          <w:sz w:val="24"/>
          <w:szCs w:val="24"/>
          <w:highlight w:val="none"/>
        </w:rPr>
        <w:t>具有造影计时器以及闪烁造影成像技术</w:t>
      </w:r>
      <w:r>
        <w:rPr>
          <w:rFonts w:hint="eastAsia" w:ascii="宋体" w:hAnsi="宋体" w:cs="宋体"/>
          <w:color w:val="auto"/>
          <w:sz w:val="24"/>
          <w:szCs w:val="24"/>
          <w:highlight w:val="none"/>
          <w:lang w:eastAsia="zh-CN"/>
        </w:rPr>
        <w:t>。</w:t>
      </w:r>
    </w:p>
    <w:p>
      <w:pPr>
        <w:widowControl/>
        <w:numPr>
          <w:ilvl w:val="0"/>
          <w:numId w:val="0"/>
        </w:numPr>
        <w:overflowPunct w:val="0"/>
        <w:autoSpaceDE w:val="0"/>
        <w:autoSpaceDN w:val="0"/>
        <w:adjustRightInd w:val="0"/>
        <w:spacing w:line="360" w:lineRule="auto"/>
        <w:ind w:right="-180" w:rightChars="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（项号36）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6.9 </w:t>
      </w:r>
      <w:r>
        <w:rPr>
          <w:rFonts w:hint="eastAsia" w:ascii="宋体" w:hAnsi="宋体" w:eastAsia="宋体" w:cs="宋体"/>
          <w:color w:val="auto"/>
          <w:sz w:val="24"/>
          <w:szCs w:val="24"/>
          <w:highlight w:val="none"/>
        </w:rPr>
        <w:t>实时微血管造影成像技术（以双幅形式同时显示实时造影和造影复合处理模式）可清晰显示组织内微小血管的灌注及走行，可早期评价病变的恶变倾向及放化疗效果</w:t>
      </w:r>
      <w:r>
        <w:rPr>
          <w:rFonts w:hint="eastAsia" w:ascii="宋体" w:hAnsi="宋体" w:cs="宋体"/>
          <w:color w:val="auto"/>
          <w:sz w:val="24"/>
          <w:szCs w:val="24"/>
          <w:highlight w:val="none"/>
          <w:lang w:eastAsia="zh-CN"/>
        </w:rPr>
        <w:t>。</w:t>
      </w:r>
    </w:p>
    <w:p>
      <w:pPr>
        <w:widowControl/>
        <w:numPr>
          <w:ilvl w:val="0"/>
          <w:numId w:val="0"/>
        </w:numPr>
        <w:overflowPunct w:val="0"/>
        <w:autoSpaceDE w:val="0"/>
        <w:autoSpaceDN w:val="0"/>
        <w:adjustRightInd w:val="0"/>
        <w:spacing w:line="360" w:lineRule="auto"/>
        <w:ind w:right="-180" w:rightChars="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（项号37）</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6.10 </w:t>
      </w:r>
      <w:r>
        <w:rPr>
          <w:rFonts w:hint="eastAsia" w:ascii="宋体" w:hAnsi="宋体" w:eastAsia="宋体" w:cs="宋体"/>
          <w:color w:val="auto"/>
          <w:sz w:val="24"/>
          <w:szCs w:val="24"/>
          <w:highlight w:val="none"/>
        </w:rPr>
        <w:t>组织抑制技术功能，可以抑制非灌注区域的显像，增强微泡的对比显示，可开关，可分级，可视可调</w:t>
      </w:r>
      <w:r>
        <w:rPr>
          <w:rFonts w:hint="eastAsia" w:ascii="宋体" w:hAnsi="宋体" w:cs="宋体"/>
          <w:color w:val="auto"/>
          <w:sz w:val="24"/>
          <w:szCs w:val="24"/>
          <w:highlight w:val="none"/>
          <w:lang w:eastAsia="zh-CN"/>
        </w:rPr>
        <w:t>。</w:t>
      </w:r>
    </w:p>
    <w:p>
      <w:pPr>
        <w:widowControl/>
        <w:numPr>
          <w:ilvl w:val="0"/>
          <w:numId w:val="0"/>
        </w:numPr>
        <w:overflowPunct w:val="0"/>
        <w:autoSpaceDE w:val="0"/>
        <w:autoSpaceDN w:val="0"/>
        <w:adjustRightInd w:val="0"/>
        <w:spacing w:line="360" w:lineRule="auto"/>
        <w:ind w:right="-180" w:rightChars="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（项号38）</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6.11 </w:t>
      </w:r>
      <w:r>
        <w:rPr>
          <w:rFonts w:hint="eastAsia" w:ascii="宋体" w:hAnsi="宋体" w:eastAsia="宋体" w:cs="宋体"/>
          <w:color w:val="auto"/>
          <w:sz w:val="24"/>
          <w:szCs w:val="24"/>
          <w:highlight w:val="none"/>
        </w:rPr>
        <w:t>在机及离机造影时间强度曲线定量分析</w:t>
      </w:r>
      <w:r>
        <w:rPr>
          <w:rFonts w:hint="eastAsia" w:ascii="宋体" w:hAnsi="宋体" w:cs="宋体"/>
          <w:color w:val="auto"/>
          <w:sz w:val="24"/>
          <w:szCs w:val="24"/>
          <w:highlight w:val="none"/>
          <w:lang w:eastAsia="zh-CN"/>
        </w:rPr>
        <w:t>。</w:t>
      </w:r>
    </w:p>
    <w:p>
      <w:pPr>
        <w:pStyle w:val="10"/>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（项号39）</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6.12 </w:t>
      </w:r>
      <w:r>
        <w:rPr>
          <w:rFonts w:hint="eastAsia" w:ascii="宋体" w:hAnsi="宋体" w:eastAsia="宋体" w:cs="宋体"/>
          <w:bCs/>
          <w:color w:val="auto"/>
          <w:sz w:val="24"/>
          <w:szCs w:val="24"/>
          <w:highlight w:val="none"/>
        </w:rPr>
        <w:t>具备造影定量分析组织运动追踪技术，实时追踪被定量组织，消除因患者呼吸、运动等产生的组织位移，使超声造影定量分析更加准确。</w:t>
      </w:r>
    </w:p>
    <w:p>
      <w:pPr>
        <w:pStyle w:val="10"/>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b/>
          <w:bCs/>
          <w:color w:val="auto"/>
          <w:kern w:val="0"/>
          <w:sz w:val="24"/>
          <w:szCs w:val="24"/>
          <w:highlight w:val="none"/>
          <w:lang w:val="en-US" w:eastAsia="zh-CN"/>
        </w:rPr>
        <w:t>项号40）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6.13 </w:t>
      </w:r>
      <w:r>
        <w:rPr>
          <w:rFonts w:hint="eastAsia" w:ascii="宋体" w:hAnsi="宋体" w:eastAsia="宋体" w:cs="宋体"/>
          <w:bCs/>
          <w:color w:val="auto"/>
          <w:sz w:val="24"/>
          <w:szCs w:val="24"/>
          <w:highlight w:val="none"/>
        </w:rPr>
        <w:t>双微造影：造影及微视血流成像两项技术实时对比显示，在造影延迟相显示组织及肿瘤的血供，帮助准确、高效的分辨肿瘤的良恶性。</w:t>
      </w:r>
    </w:p>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（项号41）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弹性成像技术</w:t>
      </w:r>
      <w:r>
        <w:rPr>
          <w:rFonts w:hint="eastAsia" w:ascii="宋体" w:hAnsi="宋体" w:cs="宋体"/>
          <w:color w:val="auto"/>
          <w:sz w:val="24"/>
          <w:szCs w:val="24"/>
          <w:highlight w:val="none"/>
          <w:lang w:eastAsia="zh-CN"/>
        </w:rPr>
        <w:t>：</w:t>
      </w:r>
    </w:p>
    <w:p>
      <w:pPr>
        <w:widowControl/>
        <w:numPr>
          <w:ilvl w:val="0"/>
          <w:numId w:val="0"/>
        </w:numPr>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kern w:val="0"/>
          <w:sz w:val="24"/>
          <w:szCs w:val="24"/>
          <w:highlight w:val="none"/>
        </w:rPr>
        <w:t>实时软组织弹性成像技术，无需人工加压，具有灰阶，反转及彩色多普勒多种显像方式</w:t>
      </w:r>
      <w:r>
        <w:rPr>
          <w:rFonts w:hint="eastAsia" w:ascii="宋体" w:hAnsi="宋体" w:cs="宋体"/>
          <w:color w:val="auto"/>
          <w:kern w:val="0"/>
          <w:sz w:val="24"/>
          <w:szCs w:val="24"/>
          <w:highlight w:val="none"/>
          <w:lang w:eastAsia="zh-CN"/>
        </w:rPr>
        <w:t>。</w:t>
      </w:r>
    </w:p>
    <w:p>
      <w:pPr>
        <w:widowControl/>
        <w:numPr>
          <w:ilvl w:val="0"/>
          <w:numId w:val="0"/>
        </w:numPr>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kern w:val="0"/>
          <w:sz w:val="24"/>
          <w:szCs w:val="24"/>
          <w:highlight w:val="none"/>
        </w:rPr>
        <w:t>具备囊实性结构鉴别弹性成像技术</w:t>
      </w:r>
      <w:r>
        <w:rPr>
          <w:rFonts w:hint="eastAsia" w:ascii="宋体" w:hAnsi="宋体" w:cs="宋体"/>
          <w:color w:val="auto"/>
          <w:kern w:val="0"/>
          <w:sz w:val="24"/>
          <w:szCs w:val="24"/>
          <w:highlight w:val="none"/>
          <w:lang w:eastAsia="zh-CN"/>
        </w:rPr>
        <w:t>。</w:t>
      </w:r>
    </w:p>
    <w:p>
      <w:pPr>
        <w:widowControl/>
        <w:numPr>
          <w:ilvl w:val="0"/>
          <w:numId w:val="0"/>
        </w:numPr>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具备浅表及腔内弹性成像</w:t>
      </w:r>
      <w:r>
        <w:rPr>
          <w:rFonts w:hint="eastAsia" w:ascii="宋体" w:hAnsi="宋体" w:cs="宋体"/>
          <w:color w:val="auto"/>
          <w:sz w:val="24"/>
          <w:szCs w:val="24"/>
          <w:highlight w:val="none"/>
          <w:lang w:eastAsia="zh-CN"/>
        </w:rPr>
        <w:t>。</w:t>
      </w:r>
    </w:p>
    <w:p>
      <w:pPr>
        <w:widowControl/>
        <w:numPr>
          <w:ilvl w:val="0"/>
          <w:numId w:val="0"/>
        </w:numP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7.4 </w:t>
      </w:r>
      <w:r>
        <w:rPr>
          <w:rFonts w:hint="eastAsia" w:ascii="宋体" w:hAnsi="宋体" w:eastAsia="宋体" w:cs="宋体"/>
          <w:color w:val="auto"/>
          <w:kern w:val="0"/>
          <w:sz w:val="24"/>
          <w:szCs w:val="24"/>
          <w:highlight w:val="none"/>
        </w:rPr>
        <w:t>主机内置一体化实时弹性定量分析技术，可对弹性图像进行直径面积对比分析、动态弹性应变分析、动态弹性参数成像。</w:t>
      </w:r>
    </w:p>
    <w:p>
      <w:pPr>
        <w:spacing w:line="360" w:lineRule="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（项号42）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实时剪切波弹性定量技术，可实时对感兴趣区域内组织进行硬度定量评价。</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支持腹部及浅表探头。</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具有彩色编码功能，可双幅显示灰阶图与彩色编码图，并具有置信图模式。</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8.3 </w:t>
      </w:r>
      <w:r>
        <w:rPr>
          <w:rFonts w:hint="eastAsia" w:ascii="宋体" w:hAnsi="宋体" w:eastAsia="宋体" w:cs="宋体"/>
          <w:color w:val="auto"/>
          <w:sz w:val="24"/>
          <w:szCs w:val="24"/>
          <w:highlight w:val="none"/>
        </w:rPr>
        <w:t>取样框ROI可调节大小，腹部最大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6cm；浅表最大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3.6cm</w:t>
      </w:r>
      <w:r>
        <w:rPr>
          <w:rFonts w:hint="eastAsia" w:ascii="宋体" w:hAnsi="宋体" w:cs="宋体"/>
          <w:color w:val="auto"/>
          <w:sz w:val="24"/>
          <w:szCs w:val="24"/>
          <w:highlight w:val="none"/>
          <w:lang w:eastAsia="zh-CN"/>
        </w:rPr>
        <w:t>。</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8.4 </w:t>
      </w:r>
      <w:r>
        <w:rPr>
          <w:rFonts w:hint="eastAsia" w:ascii="宋体" w:hAnsi="宋体" w:eastAsia="宋体" w:cs="宋体"/>
          <w:color w:val="auto"/>
          <w:sz w:val="24"/>
          <w:szCs w:val="24"/>
          <w:highlight w:val="none"/>
        </w:rPr>
        <w:t>具有多种测量模式，可根据临床需求使用取样框、圆圈、描记、点式等方式进行测量；</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8.5 </w:t>
      </w:r>
      <w:r>
        <w:rPr>
          <w:rFonts w:hint="eastAsia" w:ascii="宋体" w:hAnsi="宋体" w:eastAsia="宋体" w:cs="宋体"/>
          <w:color w:val="auto"/>
          <w:sz w:val="24"/>
          <w:szCs w:val="24"/>
          <w:highlight w:val="none"/>
        </w:rPr>
        <w:t>具有原始数据搜集及处理能力，可任意回放并进行回顾性测量计算</w:t>
      </w:r>
      <w:r>
        <w:rPr>
          <w:rFonts w:hint="eastAsia" w:ascii="宋体" w:hAnsi="宋体" w:cs="宋体"/>
          <w:color w:val="auto"/>
          <w:sz w:val="24"/>
          <w:szCs w:val="24"/>
          <w:highlight w:val="none"/>
          <w:lang w:eastAsia="zh-CN"/>
        </w:rPr>
        <w:t>。</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8.6 </w:t>
      </w:r>
      <w:r>
        <w:rPr>
          <w:rFonts w:hint="eastAsia" w:ascii="宋体" w:hAnsi="宋体" w:eastAsia="宋体" w:cs="宋体"/>
          <w:color w:val="auto"/>
          <w:sz w:val="24"/>
          <w:szCs w:val="24"/>
          <w:highlight w:val="none"/>
        </w:rPr>
        <w:t xml:space="preserve">测量值可以两种单位显示，KPa及m/s </w:t>
      </w:r>
      <w:r>
        <w:rPr>
          <w:rFonts w:hint="eastAsia" w:ascii="宋体" w:hAnsi="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（项号43）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具有微视血流成像技术，可捕捉超微细血流及超低速血流信号，支持凸阵、线阵探头，可用于腹部、浅表、肌骨、儿科、血管等多种应用，具有单独模式、增强模式及2D对比模式，具有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8种map图可选，并可进行血流速度测量，已存储的图像亦可使用增强模式进行观察。</w:t>
      </w:r>
    </w:p>
    <w:p>
      <w:pPr>
        <w:spacing w:line="360" w:lineRule="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（项号44）</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具有高清微视血流成像技术，可高清显示超微细血流及超低速血流信号，支持凸阵、线阵探头、微凸阵探头，可用于腹部、浅表、肌骨、儿科、血管等多种应用，具有单独模式、增强模式及2D对比模式，具有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8种map图可选，并可进行血流速度测量，已存储的图像亦可使用增强模式进行观察。</w:t>
      </w:r>
    </w:p>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（项号45）</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实时3D/4D成像技术</w:t>
      </w:r>
      <w:r>
        <w:rPr>
          <w:rFonts w:hint="eastAsia" w:ascii="宋体" w:hAnsi="宋体" w:cs="宋体"/>
          <w:color w:val="auto"/>
          <w:sz w:val="24"/>
          <w:szCs w:val="24"/>
          <w:highlight w:val="none"/>
          <w:lang w:eastAsia="zh-CN"/>
        </w:rPr>
        <w:t>：</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具备三维、四维实时成像功能三维容积定量，支持腹部、妇产科、小器官、腔内检查成像，支持腹部、高频、腔内及腹部、浅表矩阵探头检查成像</w:t>
      </w:r>
      <w:r>
        <w:rPr>
          <w:rFonts w:hint="eastAsia" w:ascii="宋体" w:hAnsi="宋体" w:cs="宋体"/>
          <w:color w:val="auto"/>
          <w:sz w:val="24"/>
          <w:szCs w:val="24"/>
          <w:highlight w:val="none"/>
          <w:lang w:eastAsia="zh-CN"/>
        </w:rPr>
        <w:t>。</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具备自由臂三维成像，支持常规凸阵、微凸阵、线阵探头</w:t>
      </w:r>
      <w:r>
        <w:rPr>
          <w:rFonts w:hint="eastAsia" w:ascii="宋体" w:hAnsi="宋体" w:cs="宋体"/>
          <w:color w:val="auto"/>
          <w:sz w:val="24"/>
          <w:szCs w:val="24"/>
          <w:highlight w:val="none"/>
          <w:lang w:eastAsia="zh-CN"/>
        </w:rPr>
        <w:t>。</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具有多平面MPR模式、具有表面模式、骨骼模式、反转成像模式等</w:t>
      </w:r>
      <w:r>
        <w:rPr>
          <w:rFonts w:hint="eastAsia" w:ascii="宋体" w:hAnsi="宋体" w:cs="宋体"/>
          <w:color w:val="auto"/>
          <w:sz w:val="24"/>
          <w:szCs w:val="24"/>
          <w:highlight w:val="none"/>
          <w:lang w:eastAsia="zh-CN"/>
        </w:rPr>
        <w:t>。</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智能容积断层成像，可在X,Y,Z轴具有多层断层显示方式并可同屏显示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25幅图像，断层间隔及深度可调节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具有可调节不同层厚显示方式，最小层厚≤0.1mm。 </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厚层容积切片技术，可在X,Y,Z轴进行任意位置的三维立体结构显示，对组织内的微小病变及内部细节三维结构选择性的进行三维立体显示，显示厚度及位置可调。</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自动体积定量技术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对获取的容积数据进行体积的计算。包括三种计算方式：</w:t>
      </w:r>
    </w:p>
    <w:p>
      <w:pPr>
        <w:pStyle w:val="11"/>
        <w:numPr>
          <w:ilvl w:val="2"/>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手动方式：通过测量三个径线得到体积。</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半自动：将容积数据分解成若干平面，通过对每个平面进行边界的勾画后得到总的体积。</w:t>
      </w:r>
    </w:p>
    <w:p>
      <w:pPr>
        <w:pStyle w:val="11"/>
        <w:numPr>
          <w:ilvl w:val="2"/>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全自动：对于囊性结构，系统自动确定其边界，并计算出其体积。</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11.7 </w:t>
      </w:r>
      <w:r>
        <w:rPr>
          <w:rFonts w:hint="eastAsia" w:ascii="宋体" w:hAnsi="宋体" w:eastAsia="宋体" w:cs="宋体"/>
          <w:color w:val="auto"/>
          <w:sz w:val="24"/>
          <w:szCs w:val="24"/>
          <w:highlight w:val="none"/>
        </w:rPr>
        <w:t>具有曲线ROI三维切割获取技术，可以根据组织结构轮廓调整从而方便的进行三维成像</w:t>
      </w:r>
      <w:r>
        <w:rPr>
          <w:rFonts w:hint="eastAsia" w:ascii="宋体" w:hAnsi="宋体" w:cs="宋体"/>
          <w:color w:val="auto"/>
          <w:sz w:val="24"/>
          <w:szCs w:val="24"/>
          <w:highlight w:val="none"/>
          <w:lang w:eastAsia="zh-CN"/>
        </w:rPr>
        <w:t>。</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11.8 </w:t>
      </w:r>
      <w:r>
        <w:rPr>
          <w:rFonts w:hint="eastAsia" w:ascii="宋体" w:hAnsi="宋体" w:eastAsia="宋体" w:cs="宋体"/>
          <w:color w:val="auto"/>
          <w:sz w:val="24"/>
          <w:szCs w:val="24"/>
          <w:highlight w:val="none"/>
        </w:rPr>
        <w:t>三维反转成像技术</w:t>
      </w:r>
      <w:r>
        <w:rPr>
          <w:rFonts w:hint="eastAsia" w:ascii="宋体" w:hAnsi="宋体" w:cs="宋体"/>
          <w:color w:val="auto"/>
          <w:sz w:val="24"/>
          <w:szCs w:val="24"/>
          <w:highlight w:val="none"/>
          <w:lang w:eastAsia="zh-CN"/>
        </w:rPr>
        <w:t>。</w:t>
      </w: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11.9 </w:t>
      </w:r>
      <w:r>
        <w:rPr>
          <w:rFonts w:hint="eastAsia" w:ascii="宋体" w:hAnsi="宋体" w:eastAsia="宋体" w:cs="宋体"/>
          <w:color w:val="auto"/>
          <w:sz w:val="24"/>
          <w:szCs w:val="24"/>
          <w:highlight w:val="none"/>
        </w:rPr>
        <w:t>可直接获取3D数据</w:t>
      </w:r>
      <w:r>
        <w:rPr>
          <w:rFonts w:hint="eastAsia" w:ascii="宋体" w:hAnsi="宋体" w:cs="宋体"/>
          <w:color w:val="auto"/>
          <w:sz w:val="24"/>
          <w:szCs w:val="24"/>
          <w:highlight w:val="none"/>
          <w:lang w:eastAsia="zh-CN"/>
        </w:rPr>
        <w:t>。</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11.10 </w:t>
      </w:r>
      <w:r>
        <w:rPr>
          <w:rFonts w:hint="eastAsia" w:ascii="宋体" w:hAnsi="宋体" w:eastAsia="宋体" w:cs="宋体"/>
          <w:color w:val="auto"/>
          <w:sz w:val="24"/>
          <w:szCs w:val="24"/>
          <w:highlight w:val="none"/>
        </w:rPr>
        <w:t>触摸屏三维成像全触控技术：触摸屏可手势操作三维立体图像，替代按钮功能，包含图像的旋转，光源位置移动，容积数据A\B\C平面选择及取样框位置、大小调整，取样曲线位置调节，“十”字定位点位置移动。</w:t>
      </w:r>
    </w:p>
    <w:p>
      <w:pPr>
        <w:spacing w:line="360" w:lineRule="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b/>
          <w:bCs/>
          <w:color w:val="auto"/>
          <w:kern w:val="0"/>
          <w:sz w:val="24"/>
          <w:szCs w:val="24"/>
          <w:highlight w:val="none"/>
          <w:lang w:val="en-US" w:eastAsia="zh-CN"/>
        </w:rPr>
        <w:t>项号46）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真实渲染成像功能：通过全新的容积处理方式，增强容积图像的细节显示，提高图像真实感，加强临床诊断信心。智能可变光源系统通过虚拟光源位置的改变可得到常规容积成像难以获得的多方位容积增强显示。</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光源可在容积图像上跟随手动调节的位置可视可调。</w:t>
      </w:r>
    </w:p>
    <w:p>
      <w:pPr>
        <w:pStyle w:val="11"/>
        <w:numPr>
          <w:ilvl w:val="0"/>
          <w:numId w:val="0"/>
        </w:numPr>
        <w:spacing w:line="360" w:lineRule="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光源移动方向，光源可沿X/Y/Z轴三个方位进行调节。</w:t>
      </w:r>
    </w:p>
    <w:p>
      <w:pPr>
        <w:pStyle w:val="11"/>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全触屏手势操控三维成像后处理：通过在全触摸屏上进行手势操作，可对容积图像进行X/Y/Z轴向旋转及放大/缩小调整，并通过手势操作，使得光源可沿X/Y/Z轴三个方向进行调节，有助于组织内部的结构观察。</w:t>
      </w:r>
    </w:p>
    <w:p>
      <w:pPr>
        <w:spacing w:line="360" w:lineRule="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光源快速起始位置≥6个。</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（项号47）</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容积深度渲染：基于深度信息的创新性显示方法，用不同颜色渲染深部组织信息提高3D图像Z轴（深度）方向渲染效果，呈现更多的立体结构信息，凸显需要观察的解剖部位，帮助临床医生获得更多的诊断信息。≥25种色调可调节，满足不同用户需求。</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（项号48）</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容积轮廓剪影显示模式： 突出显示容积图像内结构的轮廓。通过调节阈值，可以选择只显示容积图像表面成像或既显示表面又显示容积数据内部组织，如液性区形态、骨骼分布和形态。对于诊断多胎妊娠、骨骼畸形、内脏反位等畸形，可以帮助直观快捷的诊断。并可配合使用光源移动，光源可沿X/Y/Z轴三个方位进行调节，帮助医生对所感兴趣区域进行着重的观察。</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（项号48）</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胎儿自动识别容积成像：通过大数据建立胎儿组织结构的骨性结构标志库，基于机器深度学习功能，自动识别感兴趣区域内骨性标志，通过人工智能（AI），一键快速获取胎儿容积数据，例如一键化去除胎儿颜面部遮挡，自动识别胎儿颜面部骨骼标志从而获得清晰胎儿颜面部容积图像。帮助使用者能够快速获得胎儿容积图像，提高工作效率。  </w:t>
      </w:r>
    </w:p>
    <w:p>
      <w:pPr>
        <w:spacing w:line="360" w:lineRule="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（项号50）</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容积增强成像技术：对容积数据进行多切面采集和处理，有效地的抑制噪音，增强多切面图像分辨率，所有容积探头均支持此技术，该技术包含：</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通过增强多平面图像的对比度，极大提高A/B/C平面的对比分辨率，有利于胎儿脊柱等高回声、强回声组织的显示。</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通过调节多平面图像的厚度，以增加A/B/C平面图像的细节分辨率。</w:t>
      </w:r>
    </w:p>
    <w:p>
      <w:pPr>
        <w:widowControl/>
        <w:autoSpaceDE w:val="0"/>
        <w:autoSpaceDN w:val="0"/>
        <w:adjustRightInd w:val="0"/>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（项号51）</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17</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血管中内膜自动测量与分析</w:t>
      </w:r>
    </w:p>
    <w:p>
      <w:pPr>
        <w:widowControl/>
        <w:numPr>
          <w:ilvl w:val="0"/>
          <w:numId w:val="0"/>
        </w:numPr>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kern w:val="0"/>
          <w:sz w:val="24"/>
          <w:szCs w:val="24"/>
          <w:highlight w:val="none"/>
        </w:rPr>
        <w:t>要求对感兴趣区域内自动测量，无需手动描计</w:t>
      </w:r>
      <w:r>
        <w:rPr>
          <w:rFonts w:hint="eastAsia" w:ascii="宋体" w:hAnsi="宋体" w:cs="宋体"/>
          <w:color w:val="auto"/>
          <w:kern w:val="0"/>
          <w:sz w:val="24"/>
          <w:szCs w:val="24"/>
          <w:highlight w:val="none"/>
          <w:lang w:eastAsia="zh-CN"/>
        </w:rPr>
        <w:t>。</w:t>
      </w:r>
    </w:p>
    <w:p>
      <w:pPr>
        <w:widowControl/>
        <w:numPr>
          <w:ilvl w:val="0"/>
          <w:numId w:val="0"/>
        </w:numPr>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17.2 </w:t>
      </w:r>
      <w:r>
        <w:rPr>
          <w:rFonts w:hint="eastAsia" w:ascii="宋体" w:hAnsi="宋体" w:eastAsia="宋体" w:cs="宋体"/>
          <w:color w:val="auto"/>
          <w:kern w:val="0"/>
          <w:sz w:val="24"/>
          <w:szCs w:val="24"/>
          <w:highlight w:val="none"/>
        </w:rPr>
        <w:t>计算结果为一段距离内的平均值，提高测量的可靠性和可重复性，并可根据血管内中膜厚度不同进行优化设置</w:t>
      </w:r>
      <w:r>
        <w:rPr>
          <w:rFonts w:hint="eastAsia" w:ascii="宋体" w:hAnsi="宋体" w:cs="宋体"/>
          <w:color w:val="auto"/>
          <w:kern w:val="0"/>
          <w:sz w:val="24"/>
          <w:szCs w:val="24"/>
          <w:highlight w:val="none"/>
          <w:lang w:eastAsia="zh-CN"/>
        </w:rPr>
        <w:t>。</w:t>
      </w:r>
    </w:p>
    <w:p>
      <w:pPr>
        <w:widowControl/>
        <w:numPr>
          <w:ilvl w:val="0"/>
          <w:numId w:val="0"/>
        </w:numPr>
        <w:spacing w:line="360" w:lineRule="auto"/>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kern w:val="0"/>
          <w:sz w:val="24"/>
          <w:szCs w:val="24"/>
          <w:highlight w:val="none"/>
        </w:rPr>
        <w:t>脱机数据可输出</w:t>
      </w:r>
      <w:r>
        <w:rPr>
          <w:rFonts w:hint="eastAsia" w:ascii="宋体" w:hAnsi="宋体" w:cs="宋体"/>
          <w:color w:val="auto"/>
          <w:kern w:val="0"/>
          <w:sz w:val="24"/>
          <w:szCs w:val="24"/>
          <w:highlight w:val="none"/>
          <w:lang w:eastAsia="zh-CN"/>
        </w:rPr>
        <w:t>。</w:t>
      </w:r>
    </w:p>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（项号52）</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具备智能多普勒血管检查技术</w:t>
      </w:r>
    </w:p>
    <w:p>
      <w:pPr>
        <w:numPr>
          <w:ilvl w:val="0"/>
          <w:numId w:val="0"/>
        </w:numPr>
        <w:autoSpaceDE w:val="0"/>
        <w:autoSpaceDN w:val="0"/>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单键优化二维、多普勒图像质量</w:t>
      </w:r>
      <w:r>
        <w:rPr>
          <w:rFonts w:hint="eastAsia" w:ascii="宋体" w:hAnsi="宋体" w:cs="宋体"/>
          <w:color w:val="auto"/>
          <w:sz w:val="24"/>
          <w:szCs w:val="24"/>
          <w:highlight w:val="none"/>
          <w:lang w:eastAsia="zh-CN"/>
        </w:rPr>
        <w:t>。</w:t>
      </w:r>
    </w:p>
    <w:p>
      <w:pPr>
        <w:numPr>
          <w:ilvl w:val="0"/>
          <w:numId w:val="0"/>
        </w:numPr>
        <w:autoSpaceDE w:val="0"/>
        <w:autoSpaceDN w:val="0"/>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单键自动调整取样框角度、位置、取样门位置、角度等</w:t>
      </w:r>
      <w:r>
        <w:rPr>
          <w:rFonts w:hint="eastAsia" w:ascii="宋体" w:hAnsi="宋体" w:cs="宋体"/>
          <w:color w:val="auto"/>
          <w:sz w:val="24"/>
          <w:szCs w:val="24"/>
          <w:highlight w:val="none"/>
          <w:lang w:eastAsia="zh-CN"/>
        </w:rPr>
        <w:t>。</w:t>
      </w:r>
    </w:p>
    <w:p>
      <w:pPr>
        <w:numPr>
          <w:ilvl w:val="0"/>
          <w:numId w:val="0"/>
        </w:numPr>
        <w:autoSpaceDE w:val="0"/>
        <w:autoSpaceDN w:val="0"/>
        <w:adjustRightIn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18.3 </w:t>
      </w:r>
      <w:r>
        <w:rPr>
          <w:rFonts w:hint="eastAsia" w:ascii="宋体" w:hAnsi="宋体" w:eastAsia="宋体" w:cs="宋体"/>
          <w:color w:val="auto"/>
          <w:sz w:val="24"/>
          <w:szCs w:val="24"/>
          <w:highlight w:val="none"/>
        </w:rPr>
        <w:t>具备血流自动追踪技术，可跟随探头的移动实时追踪血管位置，自动调整彩色图像（包括取样框角度、位置等），自动优化频谱测量以保证测量值的准确性</w:t>
      </w:r>
      <w:r>
        <w:rPr>
          <w:rFonts w:hint="eastAsia" w:ascii="宋体" w:hAnsi="宋体" w:cs="宋体"/>
          <w:color w:val="auto"/>
          <w:sz w:val="24"/>
          <w:szCs w:val="24"/>
          <w:highlight w:val="none"/>
          <w:lang w:eastAsia="zh-CN"/>
        </w:rPr>
        <w:t>。</w:t>
      </w:r>
    </w:p>
    <w:p>
      <w:pPr>
        <w:pStyle w:val="10"/>
        <w:spacing w:line="360" w:lineRule="auto"/>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（项号53）</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19</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可选配负荷超声成像(内置一体化)：具备二维负荷超声</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2.</w:t>
      </w: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测量和分析： (B型、M型、D型、彩色模式)</w:t>
      </w:r>
    </w:p>
    <w:p>
      <w:pPr>
        <w:widowControl/>
        <w:overflowPunct w:val="0"/>
        <w:autoSpaceDE w:val="0"/>
        <w:autoSpaceDN w:val="0"/>
        <w:adjustRightInd w:val="0"/>
        <w:spacing w:line="360" w:lineRule="auto"/>
        <w:ind w:right="-180"/>
        <w:textAlignment w:val="baseline"/>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rPr>
        <w:t>（项号54）</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一般测量：距离、面积、周长等；</w:t>
      </w:r>
    </w:p>
    <w:p>
      <w:pPr>
        <w:widowControl/>
        <w:overflowPunct w:val="0"/>
        <w:autoSpaceDE w:val="0"/>
        <w:autoSpaceDN w:val="0"/>
        <w:adjustRightInd w:val="0"/>
        <w:spacing w:line="360" w:lineRule="auto"/>
        <w:ind w:right="-180"/>
        <w:textAlignment w:val="baseline"/>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rPr>
        <w:t>（项号55）</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3.2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产科测量：包括全面的产科径线测量、NT测量、单/双胎儿孕龄及生长曲线、羊水指数、新生儿髋关节角度等；</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（项号56）</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3.3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外周血管测量和计算功能；</w:t>
      </w:r>
    </w:p>
    <w:p>
      <w:pPr>
        <w:widowControl/>
        <w:tabs>
          <w:tab w:val="left" w:pos="1617"/>
        </w:tabs>
        <w:overflowPunct w:val="0"/>
        <w:autoSpaceDE w:val="0"/>
        <w:autoSpaceDN w:val="0"/>
        <w:adjustRightInd w:val="0"/>
        <w:spacing w:line="360" w:lineRule="auto"/>
        <w:ind w:right="-180"/>
        <w:textAlignment w:val="baseline"/>
        <w:rPr>
          <w:rFonts w:hint="eastAsia" w:ascii="宋体" w:hAnsi="宋体" w:eastAsia="宋体" w:cs="宋体"/>
          <w:b/>
          <w:bCs/>
          <w:color w:val="auto"/>
          <w:sz w:val="24"/>
          <w:szCs w:val="24"/>
          <w:highlight w:val="none"/>
          <w:lang w:eastAsia="zh-CN"/>
        </w:rPr>
      </w:pPr>
      <w:r>
        <w:rPr>
          <w:rFonts w:hint="eastAsia" w:ascii="宋体" w:hAnsi="宋体" w:cs="宋体"/>
          <w:b/>
          <w:bCs/>
          <w:color w:val="auto"/>
          <w:kern w:val="0"/>
          <w:sz w:val="24"/>
          <w:szCs w:val="24"/>
          <w:highlight w:val="none"/>
          <w:lang w:val="en-US" w:eastAsia="zh-CN"/>
        </w:rPr>
        <w:t>（项号57）</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3.4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多普勒血流测量与分析 (含自动多普勒频谱包络计算)</w:t>
      </w:r>
      <w:r>
        <w:rPr>
          <w:rFonts w:hint="eastAsia" w:ascii="宋体" w:hAnsi="宋体" w:cs="宋体"/>
          <w:color w:val="auto"/>
          <w:sz w:val="24"/>
          <w:szCs w:val="24"/>
          <w:highlight w:val="none"/>
          <w:lang w:eastAsia="zh-CN"/>
        </w:rPr>
        <w:t>；</w:t>
      </w:r>
    </w:p>
    <w:p>
      <w:pPr>
        <w:widowControl/>
        <w:tabs>
          <w:tab w:val="left" w:pos="1617"/>
        </w:tabs>
        <w:overflowPunct w:val="0"/>
        <w:autoSpaceDE w:val="0"/>
        <w:autoSpaceDN w:val="0"/>
        <w:adjustRightInd w:val="0"/>
        <w:spacing w:line="360" w:lineRule="auto"/>
        <w:ind w:right="-180"/>
        <w:textAlignment w:val="baseline"/>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rPr>
        <w:t>（项号58）</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3.5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心脏功能测量；</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2.</w:t>
      </w:r>
      <w:r>
        <w:rPr>
          <w:rFonts w:hint="eastAsia" w:ascii="宋体" w:hAnsi="宋体" w:eastAsia="宋体" w:cs="宋体"/>
          <w:b/>
          <w:bCs/>
          <w:color w:val="auto"/>
          <w:sz w:val="24"/>
          <w:szCs w:val="24"/>
          <w:highlight w:val="none"/>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图像存储 (电影) 回放重显及病案管理单元</w:t>
      </w:r>
    </w:p>
    <w:p>
      <w:pPr>
        <w:widowControl/>
        <w:overflowPunct w:val="0"/>
        <w:autoSpaceDE w:val="0"/>
        <w:autoSpaceDN w:val="0"/>
        <w:adjustRightInd w:val="0"/>
        <w:spacing w:line="360" w:lineRule="auto"/>
        <w:ind w:right="-180"/>
        <w:textAlignment w:val="baseline"/>
        <w:rPr>
          <w:rFonts w:hint="eastAsia" w:ascii="宋体" w:hAnsi="宋体" w:eastAsia="宋体" w:cs="宋体"/>
          <w:bCs/>
          <w:color w:val="auto"/>
          <w:sz w:val="24"/>
          <w:szCs w:val="24"/>
          <w:highlight w:val="none"/>
        </w:rPr>
      </w:pPr>
      <w:r>
        <w:rPr>
          <w:rFonts w:hint="eastAsia" w:ascii="宋体" w:hAnsi="宋体" w:cs="宋体"/>
          <w:b/>
          <w:bCs/>
          <w:color w:val="auto"/>
          <w:kern w:val="0"/>
          <w:sz w:val="24"/>
          <w:szCs w:val="24"/>
          <w:highlight w:val="none"/>
          <w:lang w:val="en-US" w:eastAsia="zh-CN"/>
        </w:rPr>
        <w:t>（项号59）</w:t>
      </w:r>
      <w:r>
        <w:rPr>
          <w:rFonts w:hint="eastAsia" w:ascii="宋体" w:hAnsi="宋体" w:cs="宋体"/>
          <w:bCs/>
          <w:color w:val="auto"/>
          <w:sz w:val="24"/>
          <w:szCs w:val="24"/>
          <w:highlight w:val="none"/>
          <w:lang w:eastAsia="zh-CN"/>
        </w:rPr>
        <w:t>2.</w:t>
      </w:r>
      <w:r>
        <w:rPr>
          <w:rFonts w:hint="eastAsia" w:ascii="宋体" w:hAnsi="宋体" w:eastAsia="宋体" w:cs="宋体"/>
          <w:bCs/>
          <w:color w:val="auto"/>
          <w:sz w:val="24"/>
          <w:szCs w:val="24"/>
          <w:highlight w:val="none"/>
        </w:rPr>
        <w:t>4.1</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数字化捕捉、回放、存储静、动态图像，实时图像传输，实时 JPEG 解压缩，可进行参数编程调节；</w:t>
      </w:r>
    </w:p>
    <w:p>
      <w:pPr>
        <w:widowControl/>
        <w:overflowPunct w:val="0"/>
        <w:autoSpaceDE w:val="0"/>
        <w:autoSpaceDN w:val="0"/>
        <w:adjustRightInd w:val="0"/>
        <w:spacing w:line="360" w:lineRule="auto"/>
        <w:ind w:right="-180"/>
        <w:textAlignment w:val="baseline"/>
        <w:rPr>
          <w:rFonts w:hint="eastAsia" w:ascii="宋体" w:hAnsi="宋体" w:eastAsia="宋体" w:cs="宋体"/>
          <w:bCs/>
          <w:color w:val="auto"/>
          <w:sz w:val="24"/>
          <w:szCs w:val="24"/>
          <w:highlight w:val="none"/>
        </w:rPr>
      </w:pPr>
      <w:r>
        <w:rPr>
          <w:rFonts w:hint="eastAsia" w:ascii="宋体" w:hAnsi="宋体" w:cs="宋体"/>
          <w:b/>
          <w:bCs/>
          <w:color w:val="auto"/>
          <w:kern w:val="0"/>
          <w:sz w:val="24"/>
          <w:szCs w:val="24"/>
          <w:highlight w:val="none"/>
          <w:lang w:val="en-US" w:eastAsia="zh-CN"/>
        </w:rPr>
        <w:t>（项号60）</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硬盘≥1T（1024G），DVD／USB图像存储,电影回放重现单元2200帧；</w:t>
      </w:r>
    </w:p>
    <w:p>
      <w:pPr>
        <w:widowControl/>
        <w:overflowPunct w:val="0"/>
        <w:autoSpaceDE w:val="0"/>
        <w:autoSpaceDN w:val="0"/>
        <w:adjustRightInd w:val="0"/>
        <w:spacing w:line="360" w:lineRule="auto"/>
        <w:ind w:right="-180"/>
        <w:textAlignment w:val="baseline"/>
        <w:rPr>
          <w:rFonts w:hint="eastAsia" w:ascii="宋体" w:hAnsi="宋体" w:eastAsia="宋体" w:cs="宋体"/>
          <w:bCs/>
          <w:color w:val="auto"/>
          <w:sz w:val="24"/>
          <w:szCs w:val="24"/>
          <w:highlight w:val="none"/>
        </w:rPr>
      </w:pPr>
      <w:r>
        <w:rPr>
          <w:rFonts w:hint="eastAsia" w:ascii="宋体" w:hAnsi="宋体" w:cs="宋体"/>
          <w:b/>
          <w:bCs/>
          <w:color w:val="auto"/>
          <w:kern w:val="0"/>
          <w:sz w:val="24"/>
          <w:szCs w:val="24"/>
          <w:highlight w:val="none"/>
          <w:lang w:val="en-US" w:eastAsia="zh-CN"/>
        </w:rPr>
        <w:t>（项号61）</w:t>
      </w:r>
      <w:r>
        <w:rPr>
          <w:rFonts w:hint="eastAsia" w:ascii="宋体" w:hAnsi="宋体" w:cs="宋体"/>
          <w:bCs/>
          <w:color w:val="auto"/>
          <w:sz w:val="24"/>
          <w:szCs w:val="24"/>
          <w:highlight w:val="none"/>
          <w:lang w:eastAsia="zh-CN"/>
        </w:rPr>
        <w:t>2.</w:t>
      </w:r>
      <w:r>
        <w:rPr>
          <w:rFonts w:hint="eastAsia" w:ascii="宋体" w:hAnsi="宋体" w:eastAsia="宋体" w:cs="宋体"/>
          <w:bCs/>
          <w:color w:val="auto"/>
          <w:sz w:val="24"/>
          <w:szCs w:val="24"/>
          <w:highlight w:val="none"/>
        </w:rPr>
        <w:t>4.3</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具备主机硬盘图像数据存储；</w:t>
      </w:r>
    </w:p>
    <w:p>
      <w:pPr>
        <w:widowControl/>
        <w:overflowPunct w:val="0"/>
        <w:autoSpaceDE w:val="0"/>
        <w:autoSpaceDN w:val="0"/>
        <w:adjustRightInd w:val="0"/>
        <w:spacing w:line="360" w:lineRule="auto"/>
        <w:ind w:right="-180"/>
        <w:textAlignment w:val="baseline"/>
        <w:rPr>
          <w:rFonts w:hint="eastAsia" w:ascii="宋体" w:hAnsi="宋体" w:eastAsia="宋体" w:cs="宋体"/>
          <w:bCs/>
          <w:color w:val="auto"/>
          <w:sz w:val="24"/>
          <w:szCs w:val="24"/>
          <w:highlight w:val="none"/>
        </w:rPr>
      </w:pPr>
      <w:r>
        <w:rPr>
          <w:rFonts w:hint="eastAsia" w:ascii="宋体" w:hAnsi="宋体" w:cs="宋体"/>
          <w:b/>
          <w:bCs/>
          <w:color w:val="auto"/>
          <w:kern w:val="0"/>
          <w:sz w:val="24"/>
          <w:szCs w:val="24"/>
          <w:highlight w:val="none"/>
          <w:lang w:val="en-US" w:eastAsia="zh-CN"/>
        </w:rPr>
        <w:t>（项号62）</w:t>
      </w:r>
      <w:r>
        <w:rPr>
          <w:rFonts w:hint="eastAsia" w:ascii="宋体" w:hAnsi="宋体" w:cs="宋体"/>
          <w:bCs/>
          <w:color w:val="auto"/>
          <w:sz w:val="24"/>
          <w:szCs w:val="24"/>
          <w:highlight w:val="none"/>
          <w:lang w:eastAsia="zh-CN"/>
        </w:rPr>
        <w:t>2.</w:t>
      </w:r>
      <w:r>
        <w:rPr>
          <w:rFonts w:hint="eastAsia" w:ascii="宋体" w:hAnsi="宋体" w:eastAsia="宋体" w:cs="宋体"/>
          <w:bCs/>
          <w:color w:val="auto"/>
          <w:sz w:val="24"/>
          <w:szCs w:val="24"/>
          <w:highlight w:val="none"/>
        </w:rPr>
        <w:t>4.4</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病案管理单元包括病人资料、报告、图像等的存储、修改、检索和打印等；</w:t>
      </w:r>
    </w:p>
    <w:p>
      <w:pPr>
        <w:widowControl/>
        <w:overflowPunct w:val="0"/>
        <w:autoSpaceDE w:val="0"/>
        <w:autoSpaceDN w:val="0"/>
        <w:adjustRightInd w:val="0"/>
        <w:spacing w:line="360" w:lineRule="auto"/>
        <w:ind w:right="-180"/>
        <w:textAlignment w:val="baseline"/>
        <w:rPr>
          <w:rFonts w:hint="eastAsia" w:ascii="宋体" w:hAnsi="宋体" w:eastAsia="宋体" w:cs="宋体"/>
          <w:bCs/>
          <w:color w:val="auto"/>
          <w:sz w:val="24"/>
          <w:szCs w:val="24"/>
          <w:highlight w:val="none"/>
        </w:rPr>
      </w:pPr>
      <w:r>
        <w:rPr>
          <w:rFonts w:hint="eastAsia" w:ascii="宋体" w:hAnsi="宋体" w:cs="宋体"/>
          <w:b/>
          <w:bCs/>
          <w:color w:val="auto"/>
          <w:kern w:val="0"/>
          <w:sz w:val="24"/>
          <w:szCs w:val="24"/>
          <w:highlight w:val="none"/>
          <w:lang w:val="en-US" w:eastAsia="zh-CN"/>
        </w:rPr>
        <w:t>（项号63）</w:t>
      </w:r>
      <w:r>
        <w:rPr>
          <w:rFonts w:hint="eastAsia" w:ascii="宋体" w:hAnsi="宋体" w:cs="宋体"/>
          <w:bCs/>
          <w:color w:val="auto"/>
          <w:sz w:val="24"/>
          <w:szCs w:val="24"/>
          <w:highlight w:val="none"/>
          <w:lang w:eastAsia="zh-CN"/>
        </w:rPr>
        <w:t>2.</w:t>
      </w:r>
      <w:r>
        <w:rPr>
          <w:rFonts w:hint="eastAsia" w:ascii="宋体" w:hAnsi="宋体" w:eastAsia="宋体" w:cs="宋体"/>
          <w:bCs/>
          <w:color w:val="auto"/>
          <w:sz w:val="24"/>
          <w:szCs w:val="24"/>
          <w:highlight w:val="none"/>
        </w:rPr>
        <w:t>4.5</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可根据检查要求对工作站参数（存储、压缩、回放）进行编程调节；</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2.</w:t>
      </w:r>
      <w:r>
        <w:rPr>
          <w:rFonts w:hint="eastAsia" w:ascii="宋体" w:hAnsi="宋体" w:eastAsia="宋体" w:cs="宋体"/>
          <w:b/>
          <w:bCs/>
          <w:color w:val="auto"/>
          <w:sz w:val="24"/>
          <w:szCs w:val="24"/>
          <w:highlight w:val="none"/>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输入/输出信号：</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（项号64）</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5.1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输入：DICOM DATA</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（项号65）</w:t>
      </w: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5.2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输出：S-视频、DP高清数字化输出</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bCs/>
          <w:color w:val="auto"/>
          <w:sz w:val="24"/>
          <w:szCs w:val="24"/>
          <w:highlight w:val="none"/>
          <w:lang w:eastAsia="zh-CN"/>
        </w:rPr>
      </w:pPr>
      <w:r>
        <w:rPr>
          <w:rFonts w:hint="eastAsia" w:ascii="宋体" w:hAnsi="宋体" w:cs="宋体"/>
          <w:b/>
          <w:bCs/>
          <w:color w:val="auto"/>
          <w:kern w:val="0"/>
          <w:sz w:val="24"/>
          <w:szCs w:val="24"/>
          <w:highlight w:val="none"/>
          <w:lang w:val="en-US" w:eastAsia="zh-CN"/>
        </w:rPr>
        <w:t>（项号66）</w:t>
      </w:r>
      <w:r>
        <w:rPr>
          <w:rFonts w:hint="eastAsia" w:ascii="宋体" w:hAnsi="宋体" w:cs="宋体"/>
          <w:b/>
          <w:bCs/>
          <w:color w:val="auto"/>
          <w:sz w:val="24"/>
          <w:szCs w:val="24"/>
          <w:highlight w:val="none"/>
          <w:lang w:eastAsia="zh-CN"/>
        </w:rPr>
        <w:t>2.</w:t>
      </w:r>
      <w:r>
        <w:rPr>
          <w:rFonts w:hint="eastAsia" w:ascii="宋体" w:hAnsi="宋体" w:eastAsia="宋体" w:cs="宋体"/>
          <w:b/>
          <w:bCs/>
          <w:color w:val="auto"/>
          <w:sz w:val="24"/>
          <w:szCs w:val="24"/>
          <w:highlight w:val="none"/>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连通性：</w:t>
      </w:r>
      <w:r>
        <w:rPr>
          <w:rFonts w:hint="eastAsia" w:ascii="宋体" w:hAnsi="宋体" w:eastAsia="宋体" w:cs="宋体"/>
          <w:bCs/>
          <w:color w:val="auto"/>
          <w:sz w:val="24"/>
          <w:szCs w:val="24"/>
          <w:highlight w:val="none"/>
        </w:rPr>
        <w:t>医学数字图像和通信 DICOM 3.0 版接口部件</w:t>
      </w:r>
      <w:r>
        <w:rPr>
          <w:rFonts w:hint="eastAsia" w:ascii="宋体" w:hAnsi="宋体" w:cs="宋体"/>
          <w:bCs/>
          <w:color w:val="auto"/>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系统技术参数及要求：</w:t>
      </w:r>
    </w:p>
    <w:p>
      <w:pPr>
        <w:spacing w:line="360" w:lineRule="auto"/>
        <w:ind w:right="-18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eastAsia="zh-CN"/>
        </w:rPr>
        <w:t>3.</w:t>
      </w: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系统通用功能：</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（项号67）</w:t>
      </w: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HD MAX WLED分辨率液晶显示器≥23.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寸, 分辨率1920×1080，无闪烁，不间断逐行扫描，可上下左右任意旋转，可前后折叠。</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（项号68）</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1.2</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操作面板具备液晶触摸屏≥12英寸,可通过手指滑动触摸屏进行翻页，直接点击触摸屏即可选择需要调节的参数，操作面板可上下左右进行高度调整及旋转，最大旋转角度达720度。</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（项号69）</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1.3</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探头接口选择：</w:t>
      </w:r>
      <w:r>
        <w:rPr>
          <w:rFonts w:hint="eastAsia" w:ascii="宋体" w:hAnsi="宋体" w:eastAsia="宋体" w:cs="宋体"/>
          <w:color w:val="auto"/>
          <w:sz w:val="24"/>
          <w:szCs w:val="24"/>
          <w:highlight w:val="none"/>
        </w:rPr>
        <w:t>≥</w:t>
      </w:r>
      <w:bookmarkStart w:id="5" w:name="_GoBack"/>
      <w:bookmarkEnd w:id="5"/>
      <w:r>
        <w:rPr>
          <w:rFonts w:hint="eastAsia" w:ascii="宋体" w:hAnsi="宋体" w:eastAsia="宋体" w:cs="宋体"/>
          <w:color w:val="auto"/>
          <w:kern w:val="0"/>
          <w:sz w:val="24"/>
          <w:szCs w:val="24"/>
          <w:highlight w:val="none"/>
        </w:rPr>
        <w:t>4个，微型非针式，并激活可互换通用，接口需具备照明系统方便在暗室环境更换探头</w:t>
      </w:r>
      <w:r>
        <w:rPr>
          <w:rFonts w:hint="eastAsia" w:ascii="宋体" w:hAnsi="宋体" w:cs="宋体"/>
          <w:color w:val="auto"/>
          <w:kern w:val="0"/>
          <w:sz w:val="24"/>
          <w:szCs w:val="24"/>
          <w:highlight w:val="none"/>
          <w:lang w:eastAsia="zh-CN"/>
        </w:rPr>
        <w:t>。</w:t>
      </w:r>
    </w:p>
    <w:p>
      <w:pPr>
        <w:widowControl/>
        <w:overflowPunct w:val="0"/>
        <w:autoSpaceDE w:val="0"/>
        <w:autoSpaceDN w:val="0"/>
        <w:adjustRightInd w:val="0"/>
        <w:spacing w:line="360" w:lineRule="auto"/>
        <w:ind w:right="-181"/>
        <w:textAlignment w:val="baseline"/>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（项号70）</w:t>
      </w: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1.4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预设条件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针对不同的检查脏器,预置最佳化图像的检查条件,减少操作时的调节,及常用所需的外部调节及组合调节</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eastAsia="zh-CN"/>
        </w:rPr>
        <w:t>3.</w:t>
      </w:r>
      <w:r>
        <w:rPr>
          <w:rFonts w:hint="eastAsia" w:ascii="宋体" w:hAnsi="宋体" w:eastAsia="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探头规格</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lang w:eastAsia="zh-CN"/>
        </w:rPr>
      </w:pPr>
      <w:bookmarkStart w:id="3" w:name="_Hlk42635595"/>
      <w:r>
        <w:rPr>
          <w:rFonts w:hint="eastAsia" w:ascii="宋体" w:hAnsi="宋体" w:cs="宋体"/>
          <w:b/>
          <w:bCs/>
          <w:color w:val="auto"/>
          <w:kern w:val="0"/>
          <w:sz w:val="24"/>
          <w:szCs w:val="24"/>
          <w:highlight w:val="none"/>
          <w:lang w:val="en-US" w:eastAsia="zh-CN"/>
        </w:rPr>
        <w:t>（项号71）</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2.1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频率：</w:t>
      </w:r>
      <w:r>
        <w:rPr>
          <w:rFonts w:hint="eastAsia" w:ascii="宋体" w:hAnsi="宋体" w:eastAsia="宋体" w:cs="宋体"/>
          <w:color w:val="auto"/>
          <w:sz w:val="24"/>
          <w:szCs w:val="24"/>
          <w:highlight w:val="none"/>
        </w:rPr>
        <w:t>超宽频带探头，最高频率≥</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MHz, 从1MHz</w:t>
      </w:r>
      <w:r>
        <w:rPr>
          <w:rFonts w:hint="default" w:ascii="宋体" w:hAnsi="宋体" w:eastAsia="宋体" w:cs="宋体"/>
          <w:color w:val="auto"/>
          <w:sz w:val="24"/>
          <w:szCs w:val="24"/>
          <w:highlight w:val="none"/>
          <w:lang w:val="en-US"/>
        </w:rPr>
        <w:t>到</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MHz</w:t>
      </w:r>
      <w:r>
        <w:rPr>
          <w:rFonts w:hint="eastAsia" w:ascii="宋体" w:hAnsi="宋体" w:cs="宋体"/>
          <w:color w:val="auto"/>
          <w:sz w:val="24"/>
          <w:szCs w:val="24"/>
          <w:highlight w:val="none"/>
          <w:lang w:eastAsia="zh-CN"/>
        </w:rPr>
        <w:t>。</w:t>
      </w:r>
    </w:p>
    <w:bookmarkEnd w:id="3"/>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rPr>
      </w:pPr>
      <w:bookmarkStart w:id="4" w:name="_Hlk42635661"/>
      <w:r>
        <w:rPr>
          <w:rFonts w:hint="eastAsia" w:ascii="宋体" w:hAnsi="宋体" w:cs="宋体"/>
          <w:b/>
          <w:bCs/>
          <w:color w:val="auto"/>
          <w:kern w:val="0"/>
          <w:sz w:val="24"/>
          <w:szCs w:val="24"/>
          <w:highlight w:val="none"/>
          <w:lang w:val="en-US" w:eastAsia="zh-CN"/>
        </w:rPr>
        <w:t>（项号72）</w:t>
      </w: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二维、彩色多普勒均可独立变频</w:t>
      </w:r>
      <w:r>
        <w:rPr>
          <w:rFonts w:hint="eastAsia" w:ascii="宋体" w:hAnsi="宋体" w:eastAsia="宋体" w:cs="宋体"/>
          <w:color w:val="auto"/>
          <w:kern w:val="0"/>
          <w:sz w:val="24"/>
          <w:szCs w:val="24"/>
          <w:highlight w:val="none"/>
        </w:rPr>
        <w:t>；</w:t>
      </w:r>
    </w:p>
    <w:bookmarkEnd w:id="4"/>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（项号73）</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2.3</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类型：电子相控阵、线阵、凸阵</w:t>
      </w:r>
      <w:r>
        <w:rPr>
          <w:rFonts w:hint="eastAsia" w:ascii="宋体" w:hAnsi="宋体" w:cs="宋体"/>
          <w:color w:val="auto"/>
          <w:kern w:val="0"/>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w:t>
      </w:r>
      <w:r>
        <w:rPr>
          <w:rFonts w:hint="eastAsia" w:ascii="宋体" w:hAnsi="宋体" w:cs="宋体"/>
          <w:b/>
          <w:color w:val="auto"/>
          <w:sz w:val="24"/>
          <w:szCs w:val="24"/>
          <w:highlight w:val="none"/>
          <w:lang w:eastAsia="zh-CN"/>
        </w:rPr>
        <w:t>▲</w:t>
      </w:r>
      <w:r>
        <w:rPr>
          <w:rFonts w:hint="eastAsia" w:ascii="宋体" w:hAnsi="宋体" w:cs="宋体"/>
          <w:b/>
          <w:bCs/>
          <w:color w:val="auto"/>
          <w:kern w:val="0"/>
          <w:sz w:val="24"/>
          <w:szCs w:val="24"/>
          <w:highlight w:val="none"/>
          <w:lang w:val="en-US" w:eastAsia="zh-CN"/>
        </w:rPr>
        <w:t>项号74）</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2.4</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可选纯净波探头≥13把，具有腹部、浅表、心脏、腔内、经食道、腹部容积全面纯净波单晶体探头支持</w:t>
      </w:r>
      <w:r>
        <w:rPr>
          <w:rFonts w:hint="eastAsia" w:ascii="宋体" w:hAnsi="宋体" w:cs="宋体"/>
          <w:color w:val="auto"/>
          <w:kern w:val="0"/>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b/>
          <w:bCs/>
          <w:color w:val="auto"/>
          <w:kern w:val="0"/>
          <w:sz w:val="24"/>
          <w:szCs w:val="24"/>
          <w:highlight w:val="none"/>
          <w:lang w:val="en-US" w:eastAsia="zh-CN"/>
        </w:rPr>
        <w:t>项号75）</w:t>
      </w: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腹部凸阵探头（1.0-5.0MHz）</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心脏相控阵</w:t>
      </w:r>
      <w:r>
        <w:rPr>
          <w:rFonts w:hint="eastAsia" w:ascii="宋体" w:hAnsi="宋体" w:eastAsia="宋体" w:cs="宋体"/>
          <w:color w:val="auto"/>
          <w:sz w:val="24"/>
          <w:szCs w:val="24"/>
          <w:highlight w:val="none"/>
        </w:rPr>
        <w:t>探头（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.0MHz）</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血管/小器官线阵探头（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.0-12.0MHz）</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高频线阵</w:t>
      </w:r>
      <w:r>
        <w:rPr>
          <w:rFonts w:hint="eastAsia" w:ascii="宋体" w:hAnsi="宋体" w:eastAsia="宋体" w:cs="宋体"/>
          <w:color w:val="auto"/>
          <w:sz w:val="24"/>
          <w:szCs w:val="24"/>
          <w:highlight w:val="none"/>
        </w:rPr>
        <w:t>探头（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.0MHz）</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腔内微</w:t>
      </w:r>
      <w:r>
        <w:rPr>
          <w:rFonts w:hint="eastAsia" w:ascii="宋体" w:hAnsi="宋体" w:eastAsia="宋体" w:cs="宋体"/>
          <w:color w:val="auto"/>
          <w:sz w:val="24"/>
          <w:szCs w:val="24"/>
          <w:highlight w:val="none"/>
        </w:rPr>
        <w:t>凸探头（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.0MHz）</w:t>
      </w:r>
      <w:r>
        <w:rPr>
          <w:rFonts w:hint="eastAsia" w:ascii="宋体" w:hAnsi="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（项号76）</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扫描深度≥40cm</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（项号77）</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B/D 兼用：电子线阵：B/PWD、电子凸阵：B/PWD</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电子微凸阵：B/PWD</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电子相控阵：B/PWD、B/CWD</w:t>
      </w:r>
      <w:r>
        <w:rPr>
          <w:rFonts w:hint="eastAsia" w:ascii="宋体" w:hAnsi="宋体" w:cs="宋体"/>
          <w:color w:val="auto"/>
          <w:kern w:val="0"/>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（项号78）</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穿刺导向：探头可配穿刺导向装置；</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（项号79）</w:t>
      </w:r>
      <w:r>
        <w:rPr>
          <w:rFonts w:hint="eastAsia" w:ascii="宋体" w:hAnsi="宋体" w:cs="宋体"/>
          <w:b/>
          <w:color w:val="auto"/>
          <w:kern w:val="0"/>
          <w:sz w:val="24"/>
          <w:szCs w:val="24"/>
          <w:highlight w:val="none"/>
          <w:lang w:eastAsia="zh-CN"/>
        </w:rPr>
        <w:t>3.</w:t>
      </w:r>
      <w:r>
        <w:rPr>
          <w:rFonts w:hint="eastAsia" w:ascii="宋体" w:hAnsi="宋体" w:eastAsia="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二维显像主要参数：</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3.1</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成像速度：相控阵探头，85°角,18CM深度时,帧速度≥58帧/秒</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凸阵探头, 85°角,18CM深度时,帧速度≥45帧/秒</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扫描线：每帧线密度≥320超声线</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3.2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增益调节：TGC增益补偿</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8 段，LGC侧向增益补偿≥8 段，B/M 可独立调节；</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3.3</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高分辨率放大：放大时增加信息量，提高分辨率及帧率；</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声束聚焦：发射及接收全程连续聚焦</w:t>
      </w:r>
      <w:r>
        <w:rPr>
          <w:rFonts w:hint="eastAsia" w:ascii="宋体" w:hAnsi="宋体" w:cs="宋体"/>
          <w:color w:val="auto"/>
          <w:kern w:val="0"/>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接收方式：独立接收和发射通道数, 多倍信号并行处理；</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接收超声信号系统动态范围</w:t>
      </w:r>
      <w:r>
        <w:rPr>
          <w:rFonts w:hint="eastAsia" w:ascii="宋体" w:hAnsi="宋体" w:eastAsia="宋体" w:cs="宋体"/>
          <w:color w:val="auto"/>
          <w:sz w:val="24"/>
          <w:szCs w:val="24"/>
          <w:highlight w:val="none"/>
        </w:rPr>
        <w:t>≥320</w:t>
      </w:r>
      <w:r>
        <w:rPr>
          <w:rFonts w:hint="eastAsia" w:ascii="宋体" w:hAnsi="宋体" w:eastAsia="宋体" w:cs="宋体"/>
          <w:color w:val="auto"/>
          <w:kern w:val="0"/>
          <w:sz w:val="24"/>
          <w:szCs w:val="24"/>
          <w:highlight w:val="none"/>
        </w:rPr>
        <w:t xml:space="preserve"> dB</w:t>
      </w:r>
      <w:r>
        <w:rPr>
          <w:rFonts w:hint="eastAsia" w:ascii="宋体" w:hAnsi="宋体" w:eastAsia="宋体" w:cs="宋体"/>
          <w:color w:val="auto"/>
          <w:kern w:val="0"/>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eastAsia="zh-CN"/>
        </w:rPr>
        <w:t>3.</w:t>
      </w:r>
      <w:r>
        <w:rPr>
          <w:rFonts w:hint="eastAsia" w:ascii="宋体" w:hAnsi="宋体" w:eastAsia="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频谱多普勒：</w:t>
      </w:r>
    </w:p>
    <w:p>
      <w:pPr>
        <w:widowControl/>
        <w:overflowPunct w:val="0"/>
        <w:autoSpaceDE w:val="0"/>
        <w:autoSpaceDN w:val="0"/>
        <w:adjustRightInd w:val="0"/>
        <w:spacing w:line="360" w:lineRule="auto"/>
        <w:ind w:right="-181"/>
        <w:jc w:val="left"/>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（项号80）</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4.1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显示模式：脉冲多普勒 (PWD)、高脉冲重复频率 (HPRF)、连续波多普勒（CW）；</w:t>
      </w:r>
    </w:p>
    <w:p>
      <w:pPr>
        <w:pStyle w:val="3"/>
        <w:spacing w:line="360" w:lineRule="auto"/>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w:t>
      </w:r>
      <w:r>
        <w:rPr>
          <w:rFonts w:hint="eastAsia" w:hAnsi="宋体" w:cs="宋体"/>
          <w:b/>
          <w:bCs/>
          <w:color w:val="auto"/>
          <w:kern w:val="0"/>
          <w:sz w:val="24"/>
          <w:szCs w:val="24"/>
          <w:highlight w:val="none"/>
          <w:lang w:val="en-US" w:eastAsia="zh-CN"/>
        </w:rPr>
        <w:t>项号</w:t>
      </w:r>
      <w:r>
        <w:rPr>
          <w:rFonts w:hint="eastAsia" w:ascii="宋体" w:hAnsi="宋体" w:cs="宋体"/>
          <w:b/>
          <w:bCs/>
          <w:color w:val="auto"/>
          <w:kern w:val="0"/>
          <w:sz w:val="24"/>
          <w:szCs w:val="24"/>
          <w:highlight w:val="none"/>
          <w:lang w:val="en-US" w:eastAsia="zh-CN"/>
        </w:rPr>
        <w:t>8</w:t>
      </w:r>
      <w:r>
        <w:rPr>
          <w:rFonts w:hint="eastAsia"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w:t>
      </w:r>
      <w:r>
        <w:rPr>
          <w:rFonts w:hint="eastAsia" w:hAnsi="宋体" w:cs="宋体"/>
          <w:color w:val="auto"/>
          <w:sz w:val="24"/>
          <w:szCs w:val="24"/>
          <w:highlight w:val="none"/>
          <w:lang w:eastAsia="zh-CN"/>
        </w:rPr>
        <w:t>3.</w:t>
      </w:r>
      <w:r>
        <w:rPr>
          <w:rFonts w:hint="eastAsia" w:ascii="宋体" w:hAnsi="宋体" w:eastAsia="宋体" w:cs="宋体"/>
          <w:color w:val="auto"/>
          <w:sz w:val="24"/>
          <w:szCs w:val="24"/>
          <w:highlight w:val="none"/>
        </w:rPr>
        <w:t>4.2</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发射频率</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电子相控阵</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PWD,CWD1.6-1.8MHz</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电子凸阵</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PWD</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2.0-2.2MHz</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电子线阵</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PWD</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5.75-7.0MHz</w:t>
      </w:r>
      <w:r>
        <w:rPr>
          <w:rFonts w:hint="eastAsia" w:hAnsi="宋体" w:cs="宋体"/>
          <w:color w:val="auto"/>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（项号82）</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4.3</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显示方式：B/D、M/D、D、B/CDV、B/CPA、B/CDV/PW；B/CPA/PW；B/CDV/CW；</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（项号83）</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4.4</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最大测量速度：PWD</w:t>
      </w:r>
      <w:r>
        <w:rPr>
          <w:rFonts w:hint="eastAsia" w:ascii="宋体" w:hAnsi="宋体" w:eastAsia="宋体" w:cs="宋体"/>
          <w:color w:val="auto"/>
          <w:sz w:val="24"/>
          <w:szCs w:val="24"/>
          <w:highlight w:val="none"/>
        </w:rPr>
        <w:t>正或反向血流速度</w:t>
      </w:r>
      <w:r>
        <w:rPr>
          <w:rFonts w:hint="eastAsia" w:ascii="宋体" w:hAnsi="宋体" w:eastAsia="宋体" w:cs="宋体"/>
          <w:color w:val="auto"/>
          <w:kern w:val="0"/>
          <w:sz w:val="24"/>
          <w:szCs w:val="24"/>
          <w:highlight w:val="none"/>
        </w:rPr>
        <w:t>：≥10.0 m/s（0度夹角）；</w:t>
      </w:r>
      <w:r>
        <w:rPr>
          <w:rFonts w:hint="eastAsia" w:ascii="宋体" w:hAnsi="宋体" w:eastAsia="宋体" w:cs="宋体"/>
          <w:color w:val="auto"/>
          <w:sz w:val="24"/>
          <w:szCs w:val="24"/>
          <w:highlight w:val="none"/>
        </w:rPr>
        <w:t>CWD</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血流速度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28.0m/s</w:t>
      </w:r>
      <w:r>
        <w:rPr>
          <w:rFonts w:hint="eastAsia" w:ascii="宋体" w:hAnsi="宋体" w:eastAsia="宋体" w:cs="宋体"/>
          <w:color w:val="auto"/>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b/>
          <w:bCs/>
          <w:color w:val="auto"/>
          <w:kern w:val="0"/>
          <w:sz w:val="24"/>
          <w:szCs w:val="24"/>
          <w:highlight w:val="none"/>
          <w:lang w:val="en-US" w:eastAsia="zh-CN"/>
        </w:rPr>
        <w:t>项号84）</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4.5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最低测量速度：≤0.25mm/s (非噪音信号)；</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（项号85）</w:t>
      </w: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4.6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Doppler及M型</w:t>
      </w:r>
      <w:r>
        <w:rPr>
          <w:rFonts w:hint="eastAsia" w:ascii="宋体" w:hAnsi="宋体" w:eastAsia="宋体" w:cs="宋体"/>
          <w:color w:val="auto"/>
          <w:kern w:val="0"/>
          <w:sz w:val="24"/>
          <w:szCs w:val="24"/>
          <w:highlight w:val="none"/>
        </w:rPr>
        <w:t>电影回放：</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48秒；</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（项号86）</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4.7</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滤波器：高通滤波或低通滤波两种，分级选择；</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b/>
          <w:bCs/>
          <w:color w:val="auto"/>
          <w:kern w:val="0"/>
          <w:sz w:val="24"/>
          <w:szCs w:val="24"/>
          <w:highlight w:val="none"/>
          <w:lang w:val="en-US" w:eastAsia="zh-CN"/>
        </w:rPr>
        <w:t>项号87）</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4.8</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取样宽度及位置范围：宽度 0.5mm</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20mm多级可调；</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（项号88）</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4.9</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零位移动：</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9级；</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（项号89）</w:t>
      </w: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4.1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显示控制：反转显示 (上/下)、零移位、B-刷新、D 扩展、B/D 扩展，局放及移位；</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（项号90）</w:t>
      </w: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4.11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实时自动包络频谱并完成频谱测量计算</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b/>
          <w:color w:val="auto"/>
          <w:kern w:val="0"/>
          <w:sz w:val="24"/>
          <w:szCs w:val="24"/>
          <w:highlight w:val="none"/>
        </w:rPr>
      </w:pPr>
      <w:r>
        <w:rPr>
          <w:rFonts w:hint="eastAsia" w:ascii="宋体" w:hAnsi="宋体" w:cs="宋体"/>
          <w:b/>
          <w:bCs/>
          <w:color w:val="auto"/>
          <w:kern w:val="0"/>
          <w:sz w:val="24"/>
          <w:szCs w:val="24"/>
          <w:highlight w:val="none"/>
          <w:lang w:val="en-US" w:eastAsia="zh-CN"/>
        </w:rPr>
        <w:t>（项号91）</w:t>
      </w:r>
      <w:r>
        <w:rPr>
          <w:rFonts w:hint="eastAsia" w:ascii="宋体" w:hAnsi="宋体" w:cs="宋体"/>
          <w:b/>
          <w:color w:val="auto"/>
          <w:kern w:val="0"/>
          <w:sz w:val="24"/>
          <w:szCs w:val="24"/>
          <w:highlight w:val="none"/>
          <w:lang w:eastAsia="zh-CN"/>
        </w:rPr>
        <w:t>3.</w:t>
      </w:r>
      <w:r>
        <w:rPr>
          <w:rFonts w:hint="eastAsia" w:ascii="宋体" w:hAnsi="宋体" w:eastAsia="宋体" w:cs="宋体"/>
          <w:b/>
          <w:color w:val="auto"/>
          <w:kern w:val="0"/>
          <w:sz w:val="24"/>
          <w:szCs w:val="24"/>
          <w:highlight w:val="none"/>
        </w:rPr>
        <w:t>5</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彩色多普勒：</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5.1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显示方式：速度图 (CDV)、能量图 (CPA)、方向性能量图（DCPA）</w:t>
      </w:r>
      <w:r>
        <w:rPr>
          <w:rFonts w:hint="eastAsia" w:ascii="宋体" w:hAnsi="宋体" w:cs="宋体"/>
          <w:color w:val="auto"/>
          <w:kern w:val="0"/>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5.2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彩色增强功能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彩色多普勒能量图(CDE/CPI)</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组织多普勒(TDI)</w:t>
      </w:r>
      <w:r>
        <w:rPr>
          <w:rFonts w:hint="eastAsia" w:ascii="宋体" w:hAnsi="宋体" w:cs="宋体"/>
          <w:color w:val="auto"/>
          <w:kern w:val="0"/>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5.3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具有双同步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三同步显示(B/D/CDV)</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5.4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彩色显示速度：最低平均血流显示速度≤5mm/s（非噪声信号）</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0"/>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5.5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显示控制：零位移动、黑白与彩色比较、彩色对比</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1"/>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5.6</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显示位置调整：线阵扫描感兴趣的图像范围：-20°～ +20°</w:t>
      </w:r>
      <w:r>
        <w:rPr>
          <w:rFonts w:hint="eastAsia" w:ascii="宋体" w:hAnsi="宋体" w:eastAsia="宋体" w:cs="宋体"/>
          <w:color w:val="auto"/>
          <w:kern w:val="0"/>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b/>
          <w:color w:val="auto"/>
          <w:kern w:val="0"/>
          <w:sz w:val="24"/>
          <w:szCs w:val="24"/>
          <w:highlight w:val="none"/>
        </w:rPr>
      </w:pPr>
      <w:r>
        <w:rPr>
          <w:rFonts w:hint="eastAsia" w:ascii="宋体" w:hAnsi="宋体" w:cs="宋体"/>
          <w:b/>
          <w:bCs/>
          <w:color w:val="auto"/>
          <w:kern w:val="0"/>
          <w:sz w:val="24"/>
          <w:szCs w:val="24"/>
          <w:highlight w:val="none"/>
          <w:lang w:val="en-US" w:eastAsia="zh-CN"/>
        </w:rPr>
        <w:t>（项号92）</w:t>
      </w:r>
      <w:r>
        <w:rPr>
          <w:rFonts w:hint="eastAsia" w:ascii="宋体" w:hAnsi="宋体" w:cs="宋体"/>
          <w:b/>
          <w:color w:val="auto"/>
          <w:kern w:val="0"/>
          <w:sz w:val="24"/>
          <w:szCs w:val="24"/>
          <w:highlight w:val="none"/>
          <w:lang w:eastAsia="zh-CN"/>
        </w:rPr>
        <w:t>3.</w:t>
      </w:r>
      <w:r>
        <w:rPr>
          <w:rFonts w:hint="eastAsia" w:ascii="宋体" w:hAnsi="宋体" w:eastAsia="宋体" w:cs="宋体"/>
          <w:b/>
          <w:color w:val="auto"/>
          <w:kern w:val="0"/>
          <w:sz w:val="24"/>
          <w:szCs w:val="24"/>
          <w:highlight w:val="none"/>
        </w:rPr>
        <w:t>6 超声功率输出调节：</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6.1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B/M、PWD、COLOR DOPPLER</w:t>
      </w:r>
      <w:r>
        <w:rPr>
          <w:rFonts w:hint="eastAsia" w:ascii="宋体" w:hAnsi="宋体" w:cs="宋体"/>
          <w:color w:val="auto"/>
          <w:kern w:val="0"/>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w:t>
      </w:r>
      <w:r>
        <w:rPr>
          <w:rFonts w:hint="eastAsia" w:ascii="宋体" w:hAnsi="宋体" w:eastAsia="宋体" w:cs="宋体"/>
          <w:color w:val="auto"/>
          <w:kern w:val="0"/>
          <w:sz w:val="24"/>
          <w:szCs w:val="24"/>
          <w:highlight w:val="none"/>
        </w:rPr>
        <w:t>6.2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输出功率选择分级可调</w:t>
      </w:r>
      <w:r>
        <w:rPr>
          <w:rFonts w:hint="eastAsia" w:ascii="宋体" w:hAnsi="宋体" w:cs="宋体"/>
          <w:color w:val="auto"/>
          <w:kern w:val="0"/>
          <w:sz w:val="24"/>
          <w:szCs w:val="24"/>
          <w:highlight w:val="none"/>
          <w:lang w:eastAsia="zh-CN"/>
        </w:rPr>
        <w:t>。</w:t>
      </w:r>
    </w:p>
    <w:p>
      <w:pPr>
        <w:widowControl/>
        <w:overflowPunct w:val="0"/>
        <w:autoSpaceDE w:val="0"/>
        <w:autoSpaceDN w:val="0"/>
        <w:adjustRightInd w:val="0"/>
        <w:spacing w:line="360" w:lineRule="auto"/>
        <w:ind w:right="-180"/>
        <w:jc w:val="left"/>
        <w:textAlignment w:val="baseline"/>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.7</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记录装置：</w:t>
      </w:r>
    </w:p>
    <w:p>
      <w:pPr>
        <w:widowControl/>
        <w:overflowPunct w:val="0"/>
        <w:autoSpaceDE w:val="0"/>
        <w:autoSpaceDN w:val="0"/>
        <w:adjustRightInd w:val="0"/>
        <w:spacing w:line="360" w:lineRule="auto"/>
        <w:ind w:right="-181"/>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（项号93）</w:t>
      </w: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7.1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内置一体化超声工作站：数字化储存静态及动态图像，动态图像及静态图像以AVI、BMP或JPEG等PC通用格式直接储存</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1"/>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（项号94）</w:t>
      </w: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7.2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主机硬盘容量≥1T（1024GB）</w:t>
      </w:r>
      <w:r>
        <w:rPr>
          <w:rFonts w:hint="eastAsia" w:ascii="宋体" w:hAnsi="宋体" w:cs="宋体"/>
          <w:color w:val="auto"/>
          <w:sz w:val="24"/>
          <w:szCs w:val="24"/>
          <w:highlight w:val="none"/>
          <w:lang w:eastAsia="zh-CN"/>
        </w:rPr>
        <w:t>。</w:t>
      </w:r>
    </w:p>
    <w:p>
      <w:pPr>
        <w:widowControl/>
        <w:overflowPunct w:val="0"/>
        <w:autoSpaceDE w:val="0"/>
        <w:autoSpaceDN w:val="0"/>
        <w:adjustRightInd w:val="0"/>
        <w:spacing w:line="360" w:lineRule="auto"/>
        <w:ind w:right="-181"/>
        <w:jc w:val="left"/>
        <w:textAlignment w:val="baseline"/>
        <w:rPr>
          <w:rFonts w:hint="eastAsia" w:asciiTheme="minorEastAsia" w:hAnsiTheme="minorEastAsia" w:eastAsiaTheme="minorEastAsia" w:cstheme="minorEastAsia"/>
          <w:color w:val="auto"/>
          <w:highlight w:val="none"/>
        </w:rPr>
      </w:pPr>
      <w:r>
        <w:rPr>
          <w:rFonts w:hint="eastAsia" w:ascii="宋体" w:hAnsi="宋体" w:cs="宋体"/>
          <w:b/>
          <w:bCs/>
          <w:color w:val="auto"/>
          <w:kern w:val="0"/>
          <w:sz w:val="24"/>
          <w:szCs w:val="24"/>
          <w:highlight w:val="none"/>
          <w:lang w:val="en-US" w:eastAsia="zh-CN"/>
        </w:rPr>
        <w:t>（项号95）</w:t>
      </w: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7.3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DVD-RW 或USB图像存储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USB接口≥5个，用于图像传输</w:t>
      </w:r>
      <w:r>
        <w:rPr>
          <w:rFonts w:hint="eastAsia" w:ascii="宋体" w:hAnsi="宋体" w:cs="宋体"/>
          <w:color w:val="auto"/>
          <w:sz w:val="24"/>
          <w:szCs w:val="24"/>
          <w:highlight w:val="none"/>
          <w:lang w:eastAsia="zh-CN"/>
        </w:rPr>
        <w:t>。</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三、商务要求（以“★”标示的内容为不允许负偏离的实质性要求）</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参数性质</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类型</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交货时间</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自合同签订之日起</w:t>
            </w:r>
            <w:r>
              <w:rPr>
                <w:rFonts w:hint="eastAsia" w:asciiTheme="minorEastAsia" w:hAnsi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0日</w:t>
            </w:r>
            <w:r>
              <w:rPr>
                <w:rFonts w:hint="eastAsia" w:asciiTheme="minorEastAsia" w:hAnsiTheme="minorEastAsia" w:cstheme="minorEastAsia"/>
                <w:color w:val="auto"/>
                <w:highlight w:val="none"/>
                <w:lang w:val="en-US" w:eastAsia="zh-CN"/>
              </w:rPr>
              <w:t>内</w:t>
            </w:r>
            <w:r>
              <w:rPr>
                <w:rFonts w:hint="eastAsia" w:asciiTheme="minorEastAsia" w:hAnsiTheme="minorEastAsia" w:eastAsiaTheme="minorEastAsia" w:cstheme="minorEastAsia"/>
                <w:color w:val="auto"/>
                <w:highlight w:val="none"/>
              </w:rPr>
              <w:t>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交货地点</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交货条件</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是否邀请投标人验收</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履约验收方式</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1、期次1，说明：按招标文件、合同要求进行验收。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合同支付方式</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1、货物验收合格后，达到付款条件起30日内，支付合同总金额的90.00%</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2、验收合格一年后，达到付款条件起30日内，支付合同总金额的10.00%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履约保证金</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不缴纳</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参数性质</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类型</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交货时间</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自合同签订之日起</w:t>
            </w:r>
            <w:r>
              <w:rPr>
                <w:rFonts w:hint="eastAsia" w:asciiTheme="minorEastAsia" w:hAnsi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0日</w:t>
            </w:r>
            <w:r>
              <w:rPr>
                <w:rFonts w:hint="eastAsia" w:asciiTheme="minorEastAsia" w:hAnsiTheme="minorEastAsia" w:cstheme="minorEastAsia"/>
                <w:color w:val="auto"/>
                <w:highlight w:val="none"/>
                <w:lang w:val="en-US" w:eastAsia="zh-CN"/>
              </w:rPr>
              <w:t>内</w:t>
            </w:r>
            <w:r>
              <w:rPr>
                <w:rFonts w:hint="eastAsia" w:asciiTheme="minorEastAsia" w:hAnsiTheme="minorEastAsia" w:eastAsiaTheme="minorEastAsia" w:cstheme="minorEastAsia"/>
                <w:color w:val="auto"/>
                <w:highlight w:val="none"/>
              </w:rPr>
              <w:t>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交货地点</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交货条件</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是否邀请投标人验收</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履约验收方式</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1、期次1，说明：按招标文件、合同要求进行验收。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合同支付方式</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1、货物验收合格后，达到付款条件起30日内，支付合同总金额的90.00%</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2、验收合格一年后，达到付款条件起30日内，支付合同总金额的10.00%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履约保证金</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不缴纳</w:t>
            </w:r>
          </w:p>
        </w:tc>
      </w:tr>
    </w:tbl>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参数性质</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类型</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交货时间</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自合同签订之日起</w:t>
            </w:r>
            <w:r>
              <w:rPr>
                <w:rFonts w:hint="eastAsia" w:asciiTheme="minorEastAsia" w:hAnsi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0日</w:t>
            </w:r>
            <w:r>
              <w:rPr>
                <w:rFonts w:hint="eastAsia" w:asciiTheme="minorEastAsia" w:hAnsiTheme="minorEastAsia" w:cstheme="minorEastAsia"/>
                <w:color w:val="auto"/>
                <w:highlight w:val="none"/>
                <w:lang w:val="en-US" w:eastAsia="zh-CN"/>
              </w:rPr>
              <w:t>内</w:t>
            </w:r>
            <w:r>
              <w:rPr>
                <w:rFonts w:hint="eastAsia" w:asciiTheme="minorEastAsia" w:hAnsiTheme="minorEastAsia" w:eastAsiaTheme="minorEastAsia" w:cstheme="minorEastAsia"/>
                <w:color w:val="auto"/>
                <w:highlight w:val="none"/>
              </w:rPr>
              <w:t>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交货地点</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交货条件</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是否邀请投标人验收</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履约验收方式</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1、期次1，说明：按招标文件、合同要求进行验收。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合同支付方式</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1、货物验收合格后，达到付款条件起30日内，支付合同总金额的90.00%</w:t>
            </w:r>
          </w:p>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2、验收合格一年后，达到付款条件起30日内，支付合同总金额的10.00%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履约保证金</w:t>
            </w:r>
          </w:p>
        </w:tc>
        <w:tc>
          <w:tcPr>
            <w:tcW w:w="2076" w:type="dxa"/>
          </w:tcPr>
          <w:p>
            <w:pPr>
              <w:pStyle w:val="9"/>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不缴纳</w:t>
            </w: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其他商务要求</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shd w:val="clear" w:fill="FFFFFF"/>
        </w:rPr>
        <w:t>采购包1、包2、包3其他商务要求</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★8、安装与调试</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8.1、安装与验收</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8.1.1安装</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8.1.1.1 合同签订后，由中标人负责将设备按签订合同的具体数量、具体地点运送到最终目的地。并负责派技术人员到现场进行安装、调试，技术人员必须具有安装、调试同型号设备一年以上的实际工作经验，并负责调试至验收合格交付采购人使用。</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8.1.1.2 中标人负责组织专业技术人员进行货物安装调试，采购人应提供必须的基本条件和专人配合，保证各项安装工作顺利进行。</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8.1.1.3 中标人应在合同签订时，向采购人提供安装及试运行的进度计划表。</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8.1.1.4 设备到达最终采购人现场后，中标人的工程师到采购人的现场安装设备，同时应向采购人介绍设备功能及特殊分析并进行现场演示。</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8.1.1.5设备进场后须在接到采购人安装通知后在采购人规定的时间内安装调试完毕并交付使用。</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8.1.1.6中标人提供的配置应符合临床应用要求。</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8.1.2 验收</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8.1.2.1验收标准</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8.1.2.2验收程序和方法</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8.1.2.2.1出厂检验</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8.1.2.1款验收标准的要求。</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8.1.2.2.2初验收：</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由中标人和采购人共同对设备的数量、质量、外包装等根据本章节的有关规定逐项检验。</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8.1.2.2.3试运行：</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8.1.2.2.4最终验收：</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免费更换，并无条件重新检测且调试直至验收合格交付使用。</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8.1.2.3中标人在采购人安装现场进行最终验收所产生的一切费用由中标人承担（并入投标报价内）。</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8.1.2.4若验收不能符合要求，采购人将按合同条款的有关规定执行。</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8.1.2.5 进口商品应提供《中华人民共和国海关进口货物报关单》的原件或者完整版复印件（复印件不能遮挡任何信息）。</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8.1.2.6进口商品属于应检的(或采购人要求检的)应有中标人请商检部门出具的商检报告，费用均由中标人承担。进口商品若属于免检产品，需要出具免检的相关证明材料。</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8.2、技术资料要求：中标人需提供本项目全套设备配置清单（详列名称、品牌型号、数量、原产地等）。中标人应向采购人提供以下目录的技术资料壹套（各项指标和参数应符合验收标准，采购人有权委托中国有资格单位或机构对设备性能、精度进行校核）。</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8.2.1出厂明细表(装箱单)；</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8.2.2出厂检验报告和合格证书；</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8.2.3使用说明书；</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8.2.4安装手册、操作手册、维修手册；</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8.2.5零部件目录；</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8.2.6相关文件、支持程序软盘或光盘；</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8.2.7提供原产地制造商的产品证明；</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8.2.8合同中要求的其它文件资料。</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8.3、专用工具</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8.3.1中标人应向采购人提供一套维修所需的专用工具及清单(清单附在投标文件中)。</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8.4、特殊工具</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8.4.1中标人应向采购人提供货物安装和维修所需的特殊工具及清单和中文说明书，其费用包括在投标总价内。</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★9、售后服务要求</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9.1</w:t>
      </w:r>
      <w:r>
        <w:rPr>
          <w:rFonts w:hint="eastAsia" w:asciiTheme="minorEastAsia" w:hAnsiTheme="minorEastAsia" w:eastAsiaTheme="minorEastAsia" w:cstheme="minorEastAsia"/>
          <w:b/>
          <w:color w:val="auto"/>
          <w:sz w:val="24"/>
          <w:highlight w:val="none"/>
          <w:shd w:val="clear" w:fill="FFFFFF"/>
        </w:rPr>
        <w:t>采购包1中标人应对所提供设备提供≥5年的现场免费保修，采购包2、包3中标人应对所提供设备提供≥2年的现场免费保修</w:t>
      </w:r>
      <w:r>
        <w:rPr>
          <w:rFonts w:hint="eastAsia" w:asciiTheme="minorEastAsia" w:hAnsiTheme="minorEastAsia" w:eastAsiaTheme="minorEastAsia" w:cstheme="minorEastAsia"/>
          <w:color w:val="auto"/>
          <w:sz w:val="24"/>
          <w:highlight w:val="none"/>
          <w:shd w:val="clear" w:fill="FFFFFF"/>
        </w:rPr>
        <w:t>（不得低于生产厂家要求，含所有配件及耗材)，终身维修（含附属设备）。免费开放端口，以便追溯系统及医院HIS系统的无缝连接。软件系统提供备份盘，开放密码，终身免费维护及升级。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如保修期内同一故障发生三次，或在两个月内无法修复，中标人无条件换货，立即更换新机；如保修期内因故障停机，按停机时间的双倍顺延保修期。免费保修期满前1个月内中标人应负责对设备进行一次免费全面检查，如发现潜在问题，应负责排除，保证设备正常运行。</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9.2在质量保证期内设备运行发生故障时中标人在接到采购人故障通知后2小时内响应，并在24小时内派工程师到达现场，免费负责修理或更换有缺陷的零部件或整机，如一时无法修复的设备，中标人应提供备品供采购人临床使用。在质量保证期一年内出现属设备质量问题，采购人则有权要求免费更换整机，更换的质量保证期从更换之日起相应顺延。</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9.3中标人需提供厂家在福建省内的办事处和相对应的工程师名单。</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9.4质量保证期结束后，中标人应在设备使用地区指定有维修能力的代理机构对设备在必要时进行定期维护和修理。</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9.5质量保证期后的服务要求</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9.5.1质保期结束后，中标人仍应负责对设备提供售后服务，并保障备品配件的供应。</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9.6投标人应在投标文件中详细提供售后服务承诺、保障措施、保修期内的维保范围和内容、保修期后的维保服务内容，及服务费用的报价。投标人须在投标文件中承诺质量保证期后的服务不收取上门服务人工及差旅费。</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★10、技术培训</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10.1中标人须免费对设备进行安装和调试，并列好计划对设备的使用操作、设备维修、故障排除、日常保养等方面提供现场技术培训，直到受训的技术人员能独立操作为止；对相应的受训人员将免费提供相应讲义教材等资料。技术培训没完成，不进行设备最终验收。</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★11、备品备件</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11.1中标人应提供设备在质量保证期过后一年内所需的备品备件及清单（含价格清单，价格清单应在报价部分列明，并说明此价格清单为该备品配件的最高限价）。</w:t>
      </w:r>
    </w:p>
    <w:p>
      <w:pPr>
        <w:pStyle w:val="9"/>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shd w:val="clear" w:fill="FFFFFF"/>
        </w:rPr>
        <w:t>11.2中标人应在中华人民共和国境内设有备品备件保税库（注明详细地址），且备品配件可保证供应10年以上。中标人应保证能迅速快捷地提供设备的备品备件。</w:t>
      </w:r>
    </w:p>
    <w:p>
      <w:pPr>
        <w:pStyle w:val="9"/>
        <w:jc w:val="both"/>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四、其他事项</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1、除招标文件另有规定外，若出现有关法律、法规和规章有强制性规定但招标文件未列明的情形，则投标人应按照有关法律、法规和规章强制性规定执行。</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2、其他：</w:t>
      </w:r>
    </w:p>
    <w:p>
      <w:pPr>
        <w:pStyle w:val="9"/>
        <w:ind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第六章 政府采购合同</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参考文本</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合同编号：</w:t>
      </w:r>
    </w:p>
    <w:p>
      <w:pPr>
        <w:pStyle w:val="9"/>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 xml:space="preserve"> 福建省政府采购合同（货物类）</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编制说明</w:t>
      </w:r>
      <w:r>
        <w:rPr>
          <w:rFonts w:hint="eastAsia" w:asciiTheme="minorEastAsia" w:hAnsiTheme="minorEastAsia" w:eastAsiaTheme="minorEastAsia" w:cstheme="minorEastAsia"/>
          <w:color w:val="auto"/>
          <w:highlight w:val="none"/>
        </w:rPr>
        <w:br w:type="textWrapping"/>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1.签订合同应遵守《中华人民共和国政府采购法》及其实施条例、《中华人民共和国民法典》等法律法规及其他有关规定。</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3.政府有关主管部门对若干合同有规范文本的，可使用相应合同文本。</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4.本合同范本仅供参考，采购人应当根据采购项目的实际需求对合同条款进行修改、补充。</w:t>
      </w:r>
    </w:p>
    <w:p>
      <w:pPr>
        <w:pStyle w:val="9"/>
        <w:ind w:lef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 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住所地： 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 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传真：___________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电子邮箱：___________</w:t>
      </w:r>
      <w:r>
        <w:rPr>
          <w:rFonts w:hint="eastAsia" w:asciiTheme="minorEastAsia" w:hAnsiTheme="minorEastAsia" w:eastAsiaTheme="minorEastAsia" w:cstheme="minorEastAsia"/>
          <w:color w:val="auto"/>
          <w:highlight w:val="none"/>
        </w:rPr>
        <w:br w:type="textWrapping"/>
      </w:r>
    </w:p>
    <w:p>
      <w:pPr>
        <w:pStyle w:val="9"/>
        <w:ind w:lef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乙方： 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住所地： 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联系人：___________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联系电话：___________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传真：___________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电子邮箱：___________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根据项目编号为________ 的 ___________项目（以下简称：“本项目”）的采购结果，遵循平等、自愿、公平和诚实信用的原则，双方签署本合同，具体内容如下：</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一、合同组成部分</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1.1本合同条款及附件；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1.2采购文件及其附件、补充文件；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1.3乙方的响应文件及其附件、补充文件；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1.4其他文件或材料：</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二、合同标的</w:t>
      </w:r>
      <w:r>
        <w:rPr>
          <w:rFonts w:hint="eastAsia" w:asciiTheme="minorEastAsia" w:hAnsiTheme="minorEastAsia" w:eastAsiaTheme="minorEastAsia" w:cstheme="minorEastAsia"/>
          <w:color w:val="auto"/>
          <w:highlight w:val="none"/>
        </w:rPr>
        <w:br w:type="textWrapping"/>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三、合同金额</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3.1合同总价：人民币（大写）_________ 元（￥_________元）；</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3.2合同总价组成：___________；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3.3其他需说明事项：___________；</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四、合同标的交付</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4.1交付时间：___________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4.2交付地点：___________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4.3交付条件：___________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4.4供货要求：</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若乙方提供的采购标的不符合国家知识产权法律、法规的规定或被有关主管机关认定为假冒伪劣品，则乙方中标或成交资格将被取消；甲方还将按照有关法律、法规和规章的规定进行处理，具体如下：</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(4)乙方完全遵守《中华人民共和国劳动合同法》有关规定和《中华人民共和国妇女权益保障法》中关于“劳动和社会保障权益”的有关要求。</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（5）其他供货要求：</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五、质量标准及要求</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5.1质量标准及要求</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（2）其他质量要求</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5.2节能环保产品要求</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5.3质量保证范围、质量保证期及售后服务</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（1）质量保证范围：___________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（2）本合同乙方所供应的货物质量保证期自验收合格之日起{_______月。</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（3）售后服务应按法律法规和采购文件约定执行，具体如下：</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5.4商品安全责任</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商品安全责任应按照法律法规和采购文件的规定执行，具体如下：</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六、安装调试、验收及退、换货</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6.1安装调试、验收应按照采购文件、乙方响应文件的规定或约定进行，具体如下：</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6.2本项目是否邀请其他投标人参与验收：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不邀请。  邀请，具体如下：</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6.3本项目是否邀请专家参与验收：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不邀请。  邀请，具体如下：</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6.4本项目是否邀请国家认可的质量检测机构参与验收：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不邀请。  邀请，具体如下：</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6.5履约验收：___________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6.6退、换货：___________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6.7其他：</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七、资金支付方式、条件和时间</w:t>
      </w:r>
      <w:r>
        <w:rPr>
          <w:rFonts w:hint="eastAsia" w:asciiTheme="minorEastAsia" w:hAnsiTheme="minorEastAsia" w:eastAsiaTheme="minorEastAsia" w:cstheme="minorEastAsia"/>
          <w:color w:val="auto"/>
          <w:highlight w:val="none"/>
        </w:rPr>
        <w:br w:type="textWrapping"/>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八、履约保证金</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□有，□无。具体如下违约：（按照采购文件规定填写）。</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8.1乙方向甲方缴纳人民币 元（大写： ）作为本合同的履约保证金。</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8.2履约保证金缴纳形式：支票/汇票/电汇/保函等非现金形式。</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8.3履约保证金退还： （根据实际情况填写） 。</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九、合同期限</w:t>
      </w:r>
      <w:r>
        <w:rPr>
          <w:rFonts w:hint="eastAsia" w:asciiTheme="minorEastAsia" w:hAnsiTheme="minorEastAsia" w:eastAsiaTheme="minorEastAsia" w:cstheme="minorEastAsia"/>
          <w:color w:val="auto"/>
          <w:highlight w:val="none"/>
        </w:rPr>
        <w:br w:type="textWrapping"/>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十、违约责任</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10.1甲方违约责任</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（1）甲方无正当理由拒收乙方交付的合格产品的，甲方向乙方偿付拒收货款总值_____的违约金</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（2）甲方无故逾期验收和办理合同款项支付手续的,甲方应按逾期付款总额每日_______向乙方支付违约金。</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（3）其他违约情形</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10.2乙方违约责任</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（1）乙方逾期履行服务的，乙方应按逾期交付总额每日_______向甲方支付违约金，由甲方从待付货款中扣除。乙方无正当理由逾期超过约定日期_______仍不能交付的，视为“乙方不按合同约定履约”；</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（2）乙方所交付的产品不符合合同规定及《采购文件》规定标准的，甲方有权拒收，乙方愿意更换产品但逾期交货的，按乙方逾期交货处理。乙方拒绝更换产品的，视为“乙方不按合同约定履约”；</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（3）乙方不按合同约定履约的，甲方可以解除采购合同，并对乙方已缴纳的履约保证金作“不予退还”处理。同时，乙方还须按向甲方支付违约金：</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（4）其他违约情形</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十一、不可抗力事件处理</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十二、保密条款</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12.1对于在采购和合同履行过程中所获悉的属于保密的内容，甲、乙双方均负有保密义务。</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12.2其他</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十三、解决争议的方法</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13.1甲、乙双方协商解决。</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13.2若协商解决不成，双方明确按以下第__方式解决：</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1、提交仲裁委员会仲裁，具体如下：</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2、向人民法院提起诉讼，具体如下：</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十四、合同其他条款</w:t>
      </w:r>
      <w:r>
        <w:rPr>
          <w:rFonts w:hint="eastAsia" w:asciiTheme="minorEastAsia" w:hAnsiTheme="minorEastAsia" w:eastAsiaTheme="minorEastAsia" w:cstheme="minorEastAsia"/>
          <w:color w:val="auto"/>
          <w:highlight w:val="none"/>
        </w:rPr>
        <w:br w:type="textWrapping"/>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十五、其他约定</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15.1合同文件与本合同具有同等法律效力。</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15.3本合同未尽事宜，遵照《中华人民共和国民法典》有关条文执行。</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15.4本合同正本一式_______份，具有同等法律效力，甲方、乙方各执_______份；副本_______份，_______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15.5本合同已用于政府采购合同融资，为本项目提供合同融资的金融机构为：_______，甲乙双方应当按照融资合同的约定进行资金使用及款项支付。</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中标（成交）供应商应于采购合同签订之日起_______内，向发放政采贷的金融机构提交政府采购中标（成交）通知书和政府采购合同，贷款金额以政府采购合同金额为限。</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15.6其他</w:t>
      </w:r>
    </w:p>
    <w:p>
      <w:pPr>
        <w:pStyle w:val="9"/>
        <w:jc w:val="left"/>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十六、合同附件</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甲方（采购人）：</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法定（授权）代表人：</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纳税人识别号：</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开户银行：</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账号：</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乙方（中标或成交人）：</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法定（授权）代表人：</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纳税人识别号：</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开户银行：</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账号：</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签订地点：__________</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签订日期：___年___月___日</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第七章 电子投标文件格式</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编制说明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1、除招标文件另有规定外，本章中：</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1.1涉及投标人的“全称”：</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（1）不接受联合体投标的，指投标人的全称。</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（2）接受联合体投标且投标人为联合体的，指牵头方的全称并加注（联合体牵头方），即应表述为：“牵头方的全称（联合体牵头方）”。</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1.2涉及投标人“加盖单位公章”：</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（1）不接受联合体投标的，指加盖投标人的单位公章。</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（2）接受联合体投标且投标人为联合体的，指加盖联合体牵头方的单位公章。</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1.3涉及“投标人代表签字”：</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（1）不接受联合体投标的，指由投标人的单位负责人或其授权的委托代理人签字，由委托代理人签字的，应提供“单位授权书”。</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（2）接受联合体投标且投标人为联合体的，指由联合体牵头方的单位负责人或其授权的委托代理人签字，由委托代理人签字的，应提供“单位授权书”。</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1.4“其他组织”指合伙企业、非企业专业服务机构、个体工商户、农村承包经营户等。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1.5“自然人”指具有完全民事行为能力、能够承担民事责任和义务的中国公民。</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2、除招标文件另有规定外，本章中“投标人的资格及资信证明文件”：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2.1投标人应按照招标文件第四章第1.3条第（2）款规定及本章规定进行编制，如有必要，可增加附页，附页作为资格及资信文件的组成部分。</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2.2接受联合体投标且投标人为联合体的，联合体中的各方均应按照本章第2.1条规定提交相应的全部资料。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3、投标人对电子投标文件的索引应编制页码。</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4、本章提供格式仅供参考，投标人应根据自身实际情况制作电子投标文件。</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封面格式(资格及资信证明部分)</w:t>
      </w:r>
    </w:p>
    <w:p>
      <w:pPr>
        <w:pStyle w:val="9"/>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48"/>
          <w:highlight w:val="none"/>
        </w:rPr>
        <w:t>福建省政府采购投标文件</w:t>
      </w:r>
    </w:p>
    <w:p>
      <w:pPr>
        <w:pStyle w:val="9"/>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48"/>
          <w:highlight w:val="none"/>
        </w:rPr>
        <w:t>（资格及资信证明部分）</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p>
    <w:p>
      <w:pPr>
        <w:pStyle w:val="9"/>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（填写正本或副本）</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（项目名称：（由投标人填写）</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（备案编号：（由投标人填写）</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（项目编号：（由投标人填写）</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（所投采购包：（由投标人填写）</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投标人：（填写“全称”）</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（由投标人填写）年（由投标人填写）月</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索引</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一、投标函</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二、投标人的资格及资信证明文件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三、投标保证金</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一、投标函</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（采购人或采购代理机构）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兹收到贵单位关于</w:t>
      </w:r>
      <w:r>
        <w:rPr>
          <w:rFonts w:hint="eastAsia" w:asciiTheme="minorEastAsia" w:hAnsiTheme="minorEastAsia" w:eastAsiaTheme="minorEastAsia" w:cstheme="minorEastAsia"/>
          <w:color w:val="auto"/>
          <w:highlight w:val="none"/>
          <w:u w:val="single"/>
        </w:rPr>
        <w:t xml:space="preserve">（填写“项目名称”） </w:t>
      </w:r>
      <w:r>
        <w:rPr>
          <w:rFonts w:hint="eastAsia" w:asciiTheme="minorEastAsia" w:hAnsiTheme="minorEastAsia" w:eastAsiaTheme="minorEastAsia" w:cstheme="minorEastAsia"/>
          <w:color w:val="auto"/>
          <w:highlight w:val="none"/>
        </w:rPr>
        <w:t>项目</w:t>
      </w:r>
      <w:r>
        <w:rPr>
          <w:rFonts w:hint="eastAsia" w:asciiTheme="minorEastAsia" w:hAnsiTheme="minorEastAsia" w:eastAsiaTheme="minorEastAsia" w:cstheme="minorEastAsia"/>
          <w:color w:val="auto"/>
          <w:highlight w:val="none"/>
          <w:u w:val="single"/>
        </w:rPr>
        <w:t xml:space="preserve">（项目编号：　　　　　） </w:t>
      </w:r>
      <w:r>
        <w:rPr>
          <w:rFonts w:hint="eastAsia" w:asciiTheme="minorEastAsia" w:hAnsiTheme="minorEastAsia" w:eastAsiaTheme="minorEastAsia" w:cstheme="minorEastAsia"/>
          <w:color w:val="auto"/>
          <w:highlight w:val="none"/>
        </w:rPr>
        <w:t>的投标邀请，本投标人代表</w:t>
      </w:r>
      <w:r>
        <w:rPr>
          <w:rFonts w:hint="eastAsia" w:asciiTheme="minorEastAsia" w:hAnsiTheme="minorEastAsia" w:eastAsiaTheme="minorEastAsia" w:cstheme="minorEastAsia"/>
          <w:color w:val="auto"/>
          <w:highlight w:val="none"/>
          <w:u w:val="single"/>
        </w:rPr>
        <w:t xml:space="preserve">（填写“全名”） </w:t>
      </w:r>
      <w:r>
        <w:rPr>
          <w:rFonts w:hint="eastAsia" w:asciiTheme="minorEastAsia" w:hAnsiTheme="minorEastAsia" w:eastAsiaTheme="minorEastAsia" w:cstheme="minorEastAsia"/>
          <w:color w:val="auto"/>
          <w:highlight w:val="none"/>
        </w:rPr>
        <w:t>已获得我方正式授权并代表投标人（填写“全称”）参加投标，并提交电子投标文件。我方提交的全部电子投标文件由下述部分组成：</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（1）资格及资信证明部分</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①投标函</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②投标人的资格及资信证明文件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③投标保证金</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（2）报价部分</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①开标一览表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②投标分项报价表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③招标文件规定的价格扣除证明材料（若有）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④招标文件规定的加分证明材料（若有）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（3）技术商务部分</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①标的说明一览表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②技术和服务要求响应表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③商务条件响应表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④投标人提交的其他资料（若有）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根据本函，本投标人代表宣布我方保证遵守招标文件的全部规定，同时：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1、确认：</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1.1所投采购包的投标报价详见“开标一览表”及“投标分项报价表”。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1.2我方已详细审查全部招标文件[包括但不限于：有关附件（若有）、澄清或修改（若有）等]，并自行承担因对全部招标文件理解不正确或误解而产生的相应后果和责任。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2、承诺及声明：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2.1我方具备招标文件第一章载明的“投标人的资格要求”且符合招标文件第三章载明的“二、投标人”之规定，否则投标无效。</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2.2我方提交的电子投标文件各组成部分的全部内容及资料是不可割离且真实、有效、准确、完整和不具有任何误导性的，否则产生不利后果由我方承担责任。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2.3我方提供的标的价格不高于同期市场价格，否则产生不利后果由我方承担责任。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2.4投标保证金：若出现招标文件第三章规定的不予退还情形，同意贵单位不予退还。</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2.5投标有效期：按照招标文件第三章规定执行，并在招标文件第二章载明的期限内保持有效。</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2.6若中标，将按照招标文件、我方电子投标文件及政府采购合同履行责任和义务。</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2.7若贵单位要求，我方同意提供与本项目投标有关的一切资料、数据或文件，并完全理解贵单位不一定要接受最低的投标报价或收到的任何投标。</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2.8我方承诺遵守《中华人民共和国劳动合同法》有关规定和《中华人民共和国妇女权益保障法 》中关于“劳动和社会保障权益”的有关要求。</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2.9我方承诺电子投标文件所提供的全部资料真实可靠，并接受评标委员会、采购人、采购代理机构、监管部门进一步审查其中任何资料真实性的要求。</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2.10除招标文件另有规定外，对于贵单位按照下述联络方式发出的任何信息或通知，均视为我方已收悉前述信息或通知的全部内容：</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通信地址：                                        </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邮编：                                           </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联系方法：（包括但不限于：联系人、联系电话、手机、传真、电子邮箱等）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投标人：（全称并加盖单位公章）</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    年   月   日</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二、投标人的资格及资信证明文件</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二-1单位授权书（若有）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（采购人或采购代理机构）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我方的单位负责人</w:t>
      </w:r>
      <w:r>
        <w:rPr>
          <w:rFonts w:hint="eastAsia" w:asciiTheme="minorEastAsia" w:hAnsiTheme="minorEastAsia" w:eastAsiaTheme="minorEastAsia" w:cstheme="minorEastAsia"/>
          <w:color w:val="auto"/>
          <w:highlight w:val="none"/>
          <w:u w:val="single"/>
        </w:rPr>
        <w:t>（填写“单位负责人全名”）</w:t>
      </w:r>
      <w:r>
        <w:rPr>
          <w:rFonts w:hint="eastAsia" w:asciiTheme="minorEastAsia" w:hAnsiTheme="minorEastAsia" w:eastAsiaTheme="minorEastAsia" w:cstheme="minorEastAsia"/>
          <w:color w:val="auto"/>
          <w:highlight w:val="none"/>
        </w:rPr>
        <w:t>授权</w:t>
      </w:r>
      <w:r>
        <w:rPr>
          <w:rFonts w:hint="eastAsia" w:asciiTheme="minorEastAsia" w:hAnsiTheme="minorEastAsia" w:eastAsiaTheme="minorEastAsia" w:cstheme="minorEastAsia"/>
          <w:color w:val="auto"/>
          <w:highlight w:val="none"/>
          <w:u w:val="single"/>
        </w:rPr>
        <w:t>（填写“投标人代表全名”）</w:t>
      </w:r>
      <w:r>
        <w:rPr>
          <w:rFonts w:hint="eastAsia" w:asciiTheme="minorEastAsia" w:hAnsiTheme="minorEastAsia" w:eastAsiaTheme="minorEastAsia" w:cstheme="minorEastAsia"/>
          <w:color w:val="auto"/>
          <w:highlight w:val="none"/>
        </w:rPr>
        <w:t>为投标人代表，代表我方参加</w:t>
      </w:r>
      <w:r>
        <w:rPr>
          <w:rFonts w:hint="eastAsia" w:asciiTheme="minorEastAsia" w:hAnsiTheme="minorEastAsia" w:eastAsiaTheme="minorEastAsia" w:cstheme="minorEastAsia"/>
          <w:color w:val="auto"/>
          <w:highlight w:val="none"/>
          <w:u w:val="single"/>
        </w:rPr>
        <w:t>（填写“项目名称”）</w:t>
      </w:r>
      <w:r>
        <w:rPr>
          <w:rFonts w:hint="eastAsia" w:asciiTheme="minorEastAsia" w:hAnsiTheme="minorEastAsia" w:eastAsiaTheme="minorEastAsia" w:cstheme="minorEastAsia"/>
          <w:color w:val="auto"/>
          <w:highlight w:val="none"/>
        </w:rPr>
        <w:t>项目（项目编号：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投标人代表无转委权。特此授权。</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（以下无正文）</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单位负责人：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身份证号：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手机：</w:t>
      </w:r>
      <w:r>
        <w:rPr>
          <w:rFonts w:hint="eastAsia" w:asciiTheme="minorEastAsia" w:hAnsiTheme="minorEastAsia" w:eastAsiaTheme="minorEastAsia" w:cstheme="minorEastAsia"/>
          <w:color w:val="auto"/>
          <w:highlight w:val="none"/>
          <w:u w:val="single"/>
        </w:rPr>
        <w:t>　　　　　</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投标人代表：</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身份证号：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手机：</w:t>
      </w:r>
      <w:r>
        <w:rPr>
          <w:rFonts w:hint="eastAsia" w:asciiTheme="minorEastAsia" w:hAnsiTheme="minorEastAsia" w:eastAsiaTheme="minorEastAsia" w:cstheme="minorEastAsia"/>
          <w:color w:val="auto"/>
          <w:highlight w:val="none"/>
          <w:u w:val="single"/>
        </w:rPr>
        <w:t>　　　　　</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授权方</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签署日期： 年 月 日</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附：单位负责人、投标人代表的身份证正反面复印件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要求：真实有效且内容完整、清晰、整洁。</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1、企业（银行、保险、石油石化、电力、电信等行业除外）、事业单位和社会团体法人的“单位负责人”指法定代表人，即与实际提交的“营业执照等证明文件”载明的一致。</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4、投标人为自然人的，可不填写本授权书。</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二-2营业执照等证明文件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（采购人或采购代理机构）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）投标人为法人（包括企业、事业单位和社会团体）的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现附上由</w:t>
      </w:r>
      <w:r>
        <w:rPr>
          <w:rFonts w:hint="eastAsia" w:asciiTheme="minorEastAsia" w:hAnsiTheme="minorEastAsia" w:eastAsiaTheme="minorEastAsia" w:cstheme="minorEastAsia"/>
          <w:color w:val="auto"/>
          <w:highlight w:val="none"/>
          <w:u w:val="single"/>
        </w:rPr>
        <w:t>（（填写“签发机关全称”）</w:t>
      </w:r>
      <w:r>
        <w:rPr>
          <w:rFonts w:hint="eastAsia" w:asciiTheme="minorEastAsia" w:hAnsiTheme="minorEastAsia" w:eastAsiaTheme="minorEastAsia" w:cstheme="minorEastAsia"/>
          <w:color w:val="auto"/>
          <w:highlight w:val="none"/>
        </w:rPr>
        <w:t>签发的我方统一社会信用代码（请填写法人的具体证照名称）复印件，该证明材料真实有效，否则我方负全部责任。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）投标人为非法人（包括其他组织、自然人）的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□现附上由</w:t>
      </w:r>
      <w:r>
        <w:rPr>
          <w:rFonts w:hint="eastAsia" w:asciiTheme="minorEastAsia" w:hAnsiTheme="minorEastAsia" w:eastAsiaTheme="minorEastAsia" w:cstheme="minorEastAsia"/>
          <w:color w:val="auto"/>
          <w:highlight w:val="none"/>
          <w:u w:val="single"/>
        </w:rPr>
        <w:t>（（填写“签发机关全称”）</w:t>
      </w:r>
      <w:r>
        <w:rPr>
          <w:rFonts w:hint="eastAsia" w:asciiTheme="minorEastAsia" w:hAnsiTheme="minorEastAsia" w:eastAsiaTheme="minorEastAsia" w:cstheme="minorEastAsia"/>
          <w:color w:val="auto"/>
          <w:highlight w:val="none"/>
        </w:rPr>
        <w:t>签发的我方（请填写非自然人的非法人的具体证照名称）复印件，该证明材料真实有效，否则我方负全部责任。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□现附上由</w:t>
      </w:r>
      <w:r>
        <w:rPr>
          <w:rFonts w:hint="eastAsia" w:asciiTheme="minorEastAsia" w:hAnsiTheme="minorEastAsia" w:eastAsiaTheme="minorEastAsia" w:cstheme="minorEastAsia"/>
          <w:color w:val="auto"/>
          <w:highlight w:val="none"/>
          <w:u w:val="single"/>
        </w:rPr>
        <w:t>（（填写“签发机关全称”）</w:t>
      </w:r>
      <w:r>
        <w:rPr>
          <w:rFonts w:hint="eastAsia" w:asciiTheme="minorEastAsia" w:hAnsiTheme="minorEastAsia" w:eastAsiaTheme="minorEastAsia" w:cstheme="minorEastAsia"/>
          <w:color w:val="auto"/>
          <w:highlight w:val="none"/>
        </w:rPr>
        <w:t>签发的我方（请填写自然人的身份证件名称）复印件，该证明材料真实有效，否则我方负全部责任。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1、请投标人按照实际情况编制填写，在相应的（）中打“√”并选择相应的“□”（若有）后，再按照本格式的要求提供相应证明材料的复印件。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二-3财务状况报告（财务报告、或资信证明）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（采购人或采购代理机构）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）投标人提供财务报告的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□企业适用：现附上我方</w:t>
      </w:r>
      <w:r>
        <w:rPr>
          <w:rFonts w:hint="eastAsia" w:asciiTheme="minorEastAsia" w:hAnsiTheme="minorEastAsia" w:eastAsiaTheme="minorEastAsia" w:cstheme="minorEastAsia"/>
          <w:color w:val="auto"/>
          <w:highlight w:val="none"/>
          <w:u w:val="single"/>
        </w:rPr>
        <w:t>（填写“具体的年度、或半年度、季度”）</w:t>
      </w:r>
      <w:r>
        <w:rPr>
          <w:rFonts w:hint="eastAsia" w:asciiTheme="minorEastAsia" w:hAnsiTheme="minorEastAsia" w:eastAsiaTheme="minorEastAsia" w:cstheme="minorEastAsia"/>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□事业单位适用：现附上我方</w:t>
      </w:r>
      <w:r>
        <w:rPr>
          <w:rFonts w:hint="eastAsia" w:asciiTheme="minorEastAsia" w:hAnsiTheme="minorEastAsia" w:eastAsiaTheme="minorEastAsia" w:cstheme="minorEastAsia"/>
          <w:color w:val="auto"/>
          <w:highlight w:val="none"/>
          <w:u w:val="single"/>
        </w:rPr>
        <w:t>（填写“具体的年度、或半年度、或季度”）</w:t>
      </w:r>
      <w:r>
        <w:rPr>
          <w:rFonts w:hint="eastAsia" w:asciiTheme="minorEastAsia" w:hAnsiTheme="minorEastAsia" w:eastAsiaTheme="minorEastAsia" w:cstheme="minorEastAsia"/>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□社会团体、民办非企适用：现附上我方</w:t>
      </w:r>
      <w:r>
        <w:rPr>
          <w:rFonts w:hint="eastAsia" w:asciiTheme="minorEastAsia" w:hAnsiTheme="minorEastAsia" w:eastAsiaTheme="minorEastAsia" w:cstheme="minorEastAsia"/>
          <w:color w:val="auto"/>
          <w:highlight w:val="none"/>
          <w:u w:val="single"/>
        </w:rPr>
        <w:t>（填写“具体的年度、或半年度、或季度”）</w:t>
      </w:r>
      <w:r>
        <w:rPr>
          <w:rFonts w:hint="eastAsia" w:asciiTheme="minorEastAsia" w:hAnsiTheme="minorEastAsia" w:eastAsiaTheme="minorEastAsia" w:cstheme="minorEastAsia"/>
          <w:color w:val="auto"/>
          <w:highlight w:val="none"/>
        </w:rPr>
        <w:t>财务报告复印件，包括资产负债表、业务活动表、现金流量表、会计师事务所营业执照和注册会计师资格证书，上述证明材料真实有效，否则我方负全部责任。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）投标人提供资信证明的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□非自然人适用（包括企业、事业单位、社会团体和其他组织）：现附上我方银行：</w:t>
      </w:r>
      <w:r>
        <w:rPr>
          <w:rFonts w:hint="eastAsia" w:asciiTheme="minorEastAsia" w:hAnsiTheme="minorEastAsia" w:eastAsiaTheme="minorEastAsia" w:cstheme="minorEastAsia"/>
          <w:color w:val="auto"/>
          <w:highlight w:val="none"/>
          <w:u w:val="single"/>
        </w:rPr>
        <w:t>（填写“开户银行全称”）</w:t>
      </w:r>
      <w:r>
        <w:rPr>
          <w:rFonts w:hint="eastAsia" w:asciiTheme="minorEastAsia" w:hAnsiTheme="minorEastAsia" w:eastAsiaTheme="minorEastAsia" w:cstheme="minorEastAsia"/>
          <w:color w:val="auto"/>
          <w:highlight w:val="none"/>
        </w:rPr>
        <w:t>出具的资信证明复印件，上述证明材料真实有效，否则我方负全部责任。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□自然人适用：现附上我方银行</w:t>
      </w:r>
      <w:r>
        <w:rPr>
          <w:rFonts w:hint="eastAsia" w:asciiTheme="minorEastAsia" w:hAnsiTheme="minorEastAsia" w:eastAsiaTheme="minorEastAsia" w:cstheme="minorEastAsia"/>
          <w:color w:val="auto"/>
          <w:highlight w:val="none"/>
          <w:u w:val="single"/>
        </w:rPr>
        <w:t>：（填写自然人的“个人账户的开户银行全称”）</w:t>
      </w:r>
      <w:r>
        <w:rPr>
          <w:rFonts w:hint="eastAsia" w:asciiTheme="minorEastAsia" w:hAnsiTheme="minorEastAsia" w:eastAsiaTheme="minorEastAsia" w:cstheme="minorEastAsia"/>
          <w:color w:val="auto"/>
          <w:highlight w:val="none"/>
        </w:rPr>
        <w:t>出具的资信证明复印件，上述证明材料真实有效，否则我方负全部责任。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1、请投标人按照实际情况编制填写，在相应的（）中打“√”并选择相应的“□”（若有）后，再按照本格式的要求提供相应证明材料的复印件。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2、投标人提供的财务报告复印件（成立年限按照投标截止时间推算）应符合下列规定：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2.1成立年限满1年及以上的投标人，提供经审计的招标文件规定的年度财务报告。</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2.2成立年限满半年但不足1年的投标人，提供该半年度中任一季度的季度财务报告或该半年度的半年度财务报告。</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二-4依法缴纳税收证明材料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（采购人或采购代理机构）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1、依法缴纳税收的投标人</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）法人（包括企业、事业单位和社会团体）的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现附上自</w:t>
      </w:r>
      <w:r>
        <w:rPr>
          <w:rFonts w:hint="eastAsia" w:asciiTheme="minorEastAsia" w:hAnsiTheme="minorEastAsia" w:eastAsiaTheme="minorEastAsia" w:cstheme="minorEastAsia"/>
          <w:color w:val="auto"/>
          <w:highlight w:val="none"/>
          <w:u w:val="single"/>
        </w:rPr>
        <w:t>　　年　　月　　日</w:t>
      </w:r>
      <w:r>
        <w:rPr>
          <w:rFonts w:hint="eastAsia" w:asciiTheme="minorEastAsia" w:hAnsiTheme="minorEastAsia" w:eastAsiaTheme="minorEastAsia" w:cstheme="minorEastAsia"/>
          <w:color w:val="auto"/>
          <w:highlight w:val="none"/>
        </w:rPr>
        <w:t>至</w:t>
      </w:r>
      <w:r>
        <w:rPr>
          <w:rFonts w:hint="eastAsia" w:asciiTheme="minorEastAsia" w:hAnsiTheme="minorEastAsia" w:eastAsiaTheme="minorEastAsia" w:cstheme="minorEastAsia"/>
          <w:color w:val="auto"/>
          <w:highlight w:val="none"/>
          <w:u w:val="single"/>
        </w:rPr>
        <w:t>　　年　　月　　日</w:t>
      </w:r>
      <w:r>
        <w:rPr>
          <w:rFonts w:hint="eastAsia" w:asciiTheme="minorEastAsia" w:hAnsiTheme="minorEastAsia" w:eastAsiaTheme="minorEastAsia" w:cstheme="minorEastAsia"/>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）非法人（包括其他组织、自然人）的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现附上自</w:t>
      </w:r>
      <w:r>
        <w:rPr>
          <w:rFonts w:hint="eastAsia" w:asciiTheme="minorEastAsia" w:hAnsiTheme="minorEastAsia" w:eastAsiaTheme="minorEastAsia" w:cstheme="minorEastAsia"/>
          <w:color w:val="auto"/>
          <w:highlight w:val="none"/>
          <w:u w:val="single"/>
        </w:rPr>
        <w:t>　　年　　月　　日</w:t>
      </w:r>
      <w:r>
        <w:rPr>
          <w:rFonts w:hint="eastAsia" w:asciiTheme="minorEastAsia" w:hAnsiTheme="minorEastAsia" w:eastAsiaTheme="minorEastAsia" w:cstheme="minorEastAsia"/>
          <w:color w:val="auto"/>
          <w:highlight w:val="none"/>
        </w:rPr>
        <w:t>至</w:t>
      </w:r>
      <w:r>
        <w:rPr>
          <w:rFonts w:hint="eastAsia" w:asciiTheme="minorEastAsia" w:hAnsiTheme="minorEastAsia" w:eastAsiaTheme="minorEastAsia" w:cstheme="minorEastAsia"/>
          <w:color w:val="auto"/>
          <w:highlight w:val="none"/>
          <w:u w:val="single"/>
        </w:rPr>
        <w:t>　　年　　月　　日</w:t>
      </w:r>
      <w:r>
        <w:rPr>
          <w:rFonts w:hint="eastAsia" w:asciiTheme="minorEastAsia" w:hAnsiTheme="minorEastAsia" w:eastAsiaTheme="minorEastAsia" w:cstheme="minorEastAsia"/>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2、依法免税的投标人</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）现附上我方依法免税的证明材料复印件，上述证明材料真实有效，否则我方负全部责任。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1、请投标人按照实际情况编制填写，在相应的（）中打“√”，并按照本格式的要求提供相应证明材料的复印件。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2、投标人提供的税收缴纳凭据复印件应符合下列规定：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2.1投标截止时间前（不含投标截止时间的当月）已依法缴纳税收的投标人，提供投标截止时间前六个月（不含投标截止时间的当月）中任一月份的税收缴纳凭据复印件。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2.2投标截止时间的当月成立的投标人，视同满足本项资格条件要求。</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3、若为依法免税范围的投标人，提供依法免税证明材料的，视同满足本项资格条件要求。</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二-5依法缴纳社会保障资金证明材料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（采购人或采购代理机构）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1、依法缴纳社会保障资金的投标人</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）法人（包括企业、事业单位和社会团体）的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现附上自</w:t>
      </w:r>
      <w:r>
        <w:rPr>
          <w:rFonts w:hint="eastAsia" w:asciiTheme="minorEastAsia" w:hAnsiTheme="minorEastAsia" w:eastAsiaTheme="minorEastAsia" w:cstheme="minorEastAsia"/>
          <w:color w:val="auto"/>
          <w:highlight w:val="none"/>
          <w:u w:val="single"/>
        </w:rPr>
        <w:t>　　年　　月　　日</w:t>
      </w:r>
      <w:r>
        <w:rPr>
          <w:rFonts w:hint="eastAsia" w:asciiTheme="minorEastAsia" w:hAnsiTheme="minorEastAsia" w:eastAsiaTheme="minorEastAsia" w:cstheme="minorEastAsia"/>
          <w:color w:val="auto"/>
          <w:highlight w:val="none"/>
        </w:rPr>
        <w:t>至</w:t>
      </w:r>
      <w:r>
        <w:rPr>
          <w:rFonts w:hint="eastAsia" w:asciiTheme="minorEastAsia" w:hAnsiTheme="minorEastAsia" w:eastAsiaTheme="minorEastAsia" w:cstheme="minorEastAsia"/>
          <w:color w:val="auto"/>
          <w:highlight w:val="none"/>
          <w:u w:val="single"/>
        </w:rPr>
        <w:t>　　年　　月　　日</w:t>
      </w:r>
      <w:r>
        <w:rPr>
          <w:rFonts w:hint="eastAsia" w:asciiTheme="minorEastAsia" w:hAnsiTheme="minorEastAsia" w:eastAsiaTheme="minorEastAsia" w:cstheme="minorEastAsia"/>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）非法人（包括其他组织、自然人）的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w:t>
      </w:r>
      <w:r>
        <w:rPr>
          <w:rFonts w:hint="eastAsia" w:asciiTheme="minorEastAsia" w:hAnsiTheme="minorEastAsia" w:eastAsiaTheme="minorEastAsia" w:cstheme="minorEastAsia"/>
          <w:color w:val="auto"/>
          <w:highlight w:val="none"/>
          <w:u w:val="single"/>
        </w:rPr>
        <w:t>　　年　　月　　日</w:t>
      </w:r>
      <w:r>
        <w:rPr>
          <w:rFonts w:hint="eastAsia" w:asciiTheme="minorEastAsia" w:hAnsiTheme="minorEastAsia" w:eastAsiaTheme="minorEastAsia" w:cstheme="minorEastAsia"/>
          <w:color w:val="auto"/>
          <w:highlight w:val="none"/>
        </w:rPr>
        <w:t>至</w:t>
      </w:r>
      <w:r>
        <w:rPr>
          <w:rFonts w:hint="eastAsia" w:asciiTheme="minorEastAsia" w:hAnsiTheme="minorEastAsia" w:eastAsiaTheme="minorEastAsia" w:cstheme="minorEastAsia"/>
          <w:color w:val="auto"/>
          <w:highlight w:val="none"/>
          <w:u w:val="single"/>
        </w:rPr>
        <w:t>　　年　　月　　日</w:t>
      </w:r>
      <w:r>
        <w:rPr>
          <w:rFonts w:hint="eastAsia" w:asciiTheme="minorEastAsia" w:hAnsiTheme="minorEastAsia" w:eastAsiaTheme="minorEastAsia" w:cstheme="minorEastAsia"/>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2、依法不需要缴纳或暂缓缴纳社会保障资金的投标人</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）现附上我方依法不需要缴纳或暂缓缴纳社会保障资金证明材料复印件，上述证明材料真实有效，否则我方负全部责任。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1、请投标人按照实际情况编制填写，在相应的（）中打“√”，并按照本格式的要求提供相应证明材料的复印件。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2、投标人提供的社会保障资金缴纳凭据复印件应符合下列规定：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2.2投标截止时间的当月成立的投标人，视同满足本项资格条件要求。</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3、若为依法不需要缴纳或暂缓缴纳社会保障资金的投标人，提供依法不需要缴纳或暂缓缴纳社会保障资金证明材料的，视同满足本项资格条件要求。</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二-6具备履行合同所必需设备和专业技术能力的声明函（若有）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（采购人或采购代理机构）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我方具备履行合同所必需的设备和专业技术能力，否则产生不利后果由我方承担责任。</w:t>
      </w:r>
    </w:p>
    <w:p>
      <w:pPr>
        <w:pStyle w:val="9"/>
        <w:ind w:firstLine="96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特此声明。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1、招标文件未要求投标人提供“具备履行合同所必需的设备和专业技术能力专项证明材料”的，投标人应提供本声明函。</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2、招标文件要求投标人提供“具备履行合同所必需的设备和专业技术能力专项证明材料”的，投标人可不提供本声明函。</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3、请投标人根据实际情况如实声明，否则视为提供虚假材料。</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二-7参加采购活动前三年内在经营活动中没有重大违法记录书面声明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（采购人或采购代理机构）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9"/>
        <w:ind w:firstLine="96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特此声明。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请投标人根据实际情况如实声明，否则视为提供虚假材料。</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二-8信用记录查询提示</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1、由资格审查小组通过网站查询并打印投标人的信用记录。</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二-9中小企业声明函</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（以资格条件落实中小企业扶持政策时适用，若有）</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中小企业声明函（货物）</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highlight w:val="none"/>
          <w:u w:val="single"/>
        </w:rPr>
        <w:t>（单位名称）</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u w:val="single"/>
        </w:rPr>
        <w:t>（项目名称）</w:t>
      </w:r>
      <w:r>
        <w:rPr>
          <w:rFonts w:hint="eastAsia" w:asciiTheme="minorEastAsia" w:hAnsiTheme="minorEastAsia" w:eastAsiaTheme="minorEastAsia" w:cstheme="minorEastAsia"/>
          <w:color w:val="auto"/>
          <w:highlight w:val="none"/>
        </w:rPr>
        <w:t>采购活动，提供的货物全部由符合政策要求的中小企业制造。相关企业（含联合体中的中小企业、签订分包意向协议的中小企业）的具体情况如下：</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u w:val="single"/>
        </w:rPr>
        <w:t xml:space="preserve"> （标的名称） </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w:t>
      </w:r>
      <w:r>
        <w:rPr>
          <w:rFonts w:hint="eastAsia" w:asciiTheme="minorEastAsia" w:hAnsiTheme="minorEastAsia" w:eastAsiaTheme="minorEastAsia" w:cstheme="minorEastAsia"/>
          <w:color w:val="auto"/>
          <w:sz w:val="21"/>
          <w:highlight w:val="none"/>
        </w:rPr>
        <w:t>1</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u w:val="single"/>
        </w:rPr>
        <w:t xml:space="preserve"> （标的名称） </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万元，属于</w:t>
      </w:r>
      <w:r>
        <w:rPr>
          <w:rFonts w:hint="eastAsia" w:asciiTheme="minorEastAsia" w:hAnsiTheme="minorEastAsia" w:eastAsiaTheme="minorEastAsia" w:cstheme="minorEastAsia"/>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本企业对上述声明内容的真实性负责。如有虚假，将依法承担相应责任。</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1、从业人员、营业收入、资产总额填报上一年度数据，无上一年度数据的新成立企业可不填报。</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中小企业声明函（工程、服务）</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highlight w:val="none"/>
          <w:u w:val="single"/>
        </w:rPr>
        <w:t>（单位名称）</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u w:val="single"/>
        </w:rPr>
        <w:t>（项目名称）</w:t>
      </w:r>
      <w:r>
        <w:rPr>
          <w:rFonts w:hint="eastAsia" w:asciiTheme="minorEastAsia" w:hAnsiTheme="minorEastAsia" w:eastAsiaTheme="minorEastAsia" w:cstheme="minorEastAsia"/>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（采购文件中明确的所属行业）</w:t>
      </w:r>
      <w:r>
        <w:rPr>
          <w:rFonts w:hint="eastAsia" w:asciiTheme="minorEastAsia" w:hAnsiTheme="minorEastAsia" w:eastAsiaTheme="minorEastAsia" w:cstheme="minorEastAsia"/>
          <w:color w:val="auto"/>
          <w:highlight w:val="none"/>
        </w:rPr>
        <w:t>；承建（承接）企业为</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w:t>
      </w:r>
      <w:r>
        <w:rPr>
          <w:rFonts w:hint="eastAsia" w:asciiTheme="minorEastAsia" w:hAnsiTheme="minorEastAsia" w:eastAsiaTheme="minorEastAsia" w:cstheme="minorEastAsia"/>
          <w:color w:val="auto"/>
          <w:sz w:val="21"/>
          <w:highlight w:val="none"/>
        </w:rPr>
        <w:t>1</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（采购文件中明确的所属行业）</w:t>
      </w:r>
      <w:r>
        <w:rPr>
          <w:rFonts w:hint="eastAsia" w:asciiTheme="minorEastAsia" w:hAnsiTheme="minorEastAsia" w:eastAsiaTheme="minorEastAsia" w:cstheme="minorEastAsia"/>
          <w:color w:val="auto"/>
          <w:highlight w:val="none"/>
        </w:rPr>
        <w:t>；承建（承接）企业为</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万元，属于</w:t>
      </w:r>
      <w:r>
        <w:rPr>
          <w:rFonts w:hint="eastAsia" w:asciiTheme="minorEastAsia" w:hAnsiTheme="minorEastAsia" w:eastAsiaTheme="minorEastAsia" w:cstheme="minorEastAsia"/>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本企业对上述声明内容的真实性负责。如有虚假，将依法承担相应责任。</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1、从业人员、营业收入、资产总额填报上一年度数据，无上一年度数据的新成立企业可不填报。</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残疾人福利性单位声明函</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（以资格条件落实中小企业扶持政策时适用，若有）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）由本投标人承建的（填写“所投采购包、品目号”）工程</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）由本投标人承接的（填写“所投采购包、品目号”）服务；</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本投标人对上述声明的真实性负责。如有虚假，将依法承担相应责任。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1、请投标人按照实际情况编制填写本声明函，并在相应的（）中打“√”。</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2、若《残疾人福利性单位声明函》内容不真实，视为提供虚假材料。</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监狱企业证明材料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二-10联合体协议（若有）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（采购人或采购代理机构）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兹有</w:t>
      </w:r>
      <w:r>
        <w:rPr>
          <w:rFonts w:hint="eastAsia" w:asciiTheme="minorEastAsia" w:hAnsiTheme="minorEastAsia" w:eastAsiaTheme="minorEastAsia" w:cstheme="minorEastAsia"/>
          <w:color w:val="auto"/>
          <w:highlight w:val="none"/>
          <w:u w:val="single"/>
        </w:rPr>
        <w:t>（填写“联合体中各方的全称”，各方的全称之间请用“、”分割）</w:t>
      </w:r>
      <w:r>
        <w:rPr>
          <w:rFonts w:hint="eastAsia" w:asciiTheme="minorEastAsia" w:hAnsiTheme="minorEastAsia" w:eastAsiaTheme="minorEastAsia" w:cstheme="minorEastAsia"/>
          <w:color w:val="auto"/>
          <w:highlight w:val="none"/>
        </w:rPr>
        <w:t>自愿组成联合体，共同参加</w:t>
      </w:r>
      <w:r>
        <w:rPr>
          <w:rFonts w:hint="eastAsia" w:asciiTheme="minorEastAsia" w:hAnsiTheme="minorEastAsia" w:eastAsiaTheme="minorEastAsia" w:cstheme="minorEastAsia"/>
          <w:color w:val="auto"/>
          <w:highlight w:val="none"/>
          <w:u w:val="single"/>
        </w:rPr>
        <w:t>（填写“项目名称”）</w:t>
      </w:r>
      <w:r>
        <w:rPr>
          <w:rFonts w:hint="eastAsia" w:asciiTheme="minorEastAsia" w:hAnsiTheme="minorEastAsia" w:eastAsiaTheme="minorEastAsia" w:cstheme="minorEastAsia"/>
          <w:color w:val="auto"/>
          <w:highlight w:val="none"/>
        </w:rPr>
        <w:t xml:space="preserve"> 项目（项目编号：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）的投标。现就联合体参加本项目投标的有关事宜达成下列协议：</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一、联合体各方应承担的工作和义务具体如下：</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1、牵头方（全称）：</w:t>
      </w:r>
      <w:r>
        <w:rPr>
          <w:rFonts w:hint="eastAsia" w:asciiTheme="minorEastAsia" w:hAnsiTheme="minorEastAsia" w:eastAsiaTheme="minorEastAsia" w:cstheme="minorEastAsia"/>
          <w:color w:val="auto"/>
          <w:highlight w:val="none"/>
          <w:u w:val="single"/>
        </w:rPr>
        <w:t xml:space="preserve">（填写“工作及义务的具体内容”） </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2、成员方：</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2.1（成员一的全称）：</w:t>
      </w:r>
      <w:r>
        <w:rPr>
          <w:rFonts w:hint="eastAsia" w:asciiTheme="minorEastAsia" w:hAnsiTheme="minorEastAsia" w:eastAsiaTheme="minorEastAsia" w:cstheme="minorEastAsia"/>
          <w:color w:val="auto"/>
          <w:highlight w:val="none"/>
          <w:u w:val="single"/>
        </w:rPr>
        <w:t>（填写“工作及义务的具体内容”）</w:t>
      </w:r>
      <w:r>
        <w:rPr>
          <w:rFonts w:hint="eastAsia" w:asciiTheme="minorEastAsia" w:hAnsiTheme="minorEastAsia" w:eastAsiaTheme="minorEastAsia" w:cstheme="minorEastAsia"/>
          <w:color w:val="auto"/>
          <w:highlight w:val="none"/>
        </w:rPr>
        <w:t xml:space="preserve"> ；</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二、联合体各方的合同金额占比，具体如下：</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1.牵头方（</w:t>
      </w:r>
      <w:r>
        <w:rPr>
          <w:rFonts w:hint="eastAsia" w:asciiTheme="minorEastAsia" w:hAnsiTheme="minorEastAsia" w:eastAsiaTheme="minorEastAsia" w:cstheme="minorEastAsia"/>
          <w:color w:val="auto"/>
          <w:highlight w:val="none"/>
          <w:u w:val="single"/>
        </w:rPr>
        <w:t xml:space="preserve"> 全称</w:t>
      </w:r>
      <w:r>
        <w:rPr>
          <w:rFonts w:hint="eastAsia" w:asciiTheme="minorEastAsia" w:hAnsiTheme="minorEastAsia" w:eastAsiaTheme="minorEastAsia" w:cstheme="minorEastAsia"/>
          <w:color w:val="auto"/>
          <w:highlight w:val="none"/>
        </w:rPr>
        <w:t xml:space="preserve"> ）的合同金额占合同总额的</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2.成员方：</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u w:val="single"/>
        </w:rPr>
        <w:t xml:space="preserve"> 成员1的全称 </w:t>
      </w:r>
      <w:r>
        <w:rPr>
          <w:rFonts w:hint="eastAsia" w:asciiTheme="minorEastAsia" w:hAnsiTheme="minorEastAsia" w:eastAsiaTheme="minorEastAsia" w:cstheme="minorEastAsia"/>
          <w:color w:val="auto"/>
          <w:highlight w:val="none"/>
        </w:rPr>
        <w:t>）的合同金额占合同总额的</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三、联合体各方约定：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1、由</w:t>
      </w:r>
      <w:r>
        <w:rPr>
          <w:rFonts w:hint="eastAsia" w:asciiTheme="minorEastAsia" w:hAnsiTheme="minorEastAsia" w:eastAsiaTheme="minorEastAsia" w:cstheme="minorEastAsia"/>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2、联合体各方约定由</w:t>
      </w:r>
      <w:r>
        <w:rPr>
          <w:rFonts w:hint="eastAsia" w:asciiTheme="minorEastAsia" w:hAnsiTheme="minorEastAsia" w:eastAsiaTheme="minorEastAsia" w:cstheme="minorEastAsia"/>
          <w:color w:val="auto"/>
          <w:highlight w:val="none"/>
          <w:u w:val="single"/>
        </w:rPr>
        <w:t>（填写“牵头方的全称”）代表联合体办理投标保证金事宜。</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五、本协议自签署之日起生效，政府采购合同履行完毕后自动失效。</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六、本协议一式</w:t>
      </w:r>
      <w:r>
        <w:rPr>
          <w:rFonts w:hint="eastAsia" w:asciiTheme="minorEastAsia" w:hAnsiTheme="minorEastAsia" w:eastAsiaTheme="minorEastAsia" w:cstheme="minorEastAsia"/>
          <w:color w:val="auto"/>
          <w:highlight w:val="none"/>
          <w:u w:val="single"/>
        </w:rPr>
        <w:t>（填写具体份数）</w:t>
      </w:r>
      <w:r>
        <w:rPr>
          <w:rFonts w:hint="eastAsia" w:asciiTheme="minorEastAsia" w:hAnsiTheme="minorEastAsia" w:eastAsiaTheme="minorEastAsia" w:cstheme="minorEastAsia"/>
          <w:color w:val="auto"/>
          <w:highlight w:val="none"/>
        </w:rPr>
        <w:t>份，联合体各方各执一份，电子投标文件中提交一份。</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（以下无正文）</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牵头方：</w:t>
      </w:r>
      <w:r>
        <w:rPr>
          <w:rFonts w:hint="eastAsia" w:asciiTheme="minorEastAsia" w:hAnsiTheme="minorEastAsia" w:eastAsiaTheme="minorEastAsia" w:cstheme="minorEastAsia"/>
          <w:color w:val="auto"/>
          <w:highlight w:val="none"/>
          <w:u w:val="single"/>
        </w:rPr>
        <w:t>（全称并加盖单位公章）</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法定代表人或其委托代理人：</w:t>
      </w:r>
      <w:r>
        <w:rPr>
          <w:rFonts w:hint="eastAsia" w:asciiTheme="minorEastAsia" w:hAnsiTheme="minorEastAsia" w:eastAsiaTheme="minorEastAsia" w:cstheme="minorEastAsia"/>
          <w:color w:val="auto"/>
          <w:highlight w:val="none"/>
          <w:u w:val="single"/>
        </w:rPr>
        <w:t xml:space="preserve"> （签字或盖章）</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成员一：</w:t>
      </w:r>
      <w:r>
        <w:rPr>
          <w:rFonts w:hint="eastAsia" w:asciiTheme="minorEastAsia" w:hAnsiTheme="minorEastAsia" w:eastAsiaTheme="minorEastAsia" w:cstheme="minorEastAsia"/>
          <w:color w:val="auto"/>
          <w:highlight w:val="none"/>
          <w:u w:val="single"/>
        </w:rPr>
        <w:t>（全称并加盖成员一的单位公章）</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法定代表人或其委托代理人：</w:t>
      </w:r>
      <w:r>
        <w:rPr>
          <w:rFonts w:hint="eastAsia" w:asciiTheme="minorEastAsia" w:hAnsiTheme="minorEastAsia" w:eastAsiaTheme="minorEastAsia" w:cstheme="minorEastAsia"/>
          <w:color w:val="auto"/>
          <w:highlight w:val="none"/>
          <w:u w:val="single"/>
        </w:rPr>
        <w:t xml:space="preserve"> （签字或盖章）</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成员**：</w:t>
      </w:r>
      <w:r>
        <w:rPr>
          <w:rFonts w:hint="eastAsia" w:asciiTheme="minorEastAsia" w:hAnsiTheme="minorEastAsia" w:eastAsiaTheme="minorEastAsia" w:cstheme="minorEastAsia"/>
          <w:color w:val="auto"/>
          <w:highlight w:val="none"/>
          <w:u w:val="single"/>
        </w:rPr>
        <w:t>（全称并加盖成员**的单位公章）</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法定代表人或其委托代理人：</w:t>
      </w:r>
      <w:r>
        <w:rPr>
          <w:rFonts w:hint="eastAsia" w:asciiTheme="minorEastAsia" w:hAnsiTheme="minorEastAsia" w:eastAsiaTheme="minorEastAsia" w:cstheme="minorEastAsia"/>
          <w:color w:val="auto"/>
          <w:highlight w:val="none"/>
          <w:u w:val="single"/>
        </w:rPr>
        <w:t xml:space="preserve"> （签字或盖章）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签署日期：</w:t>
      </w:r>
      <w:r>
        <w:rPr>
          <w:rFonts w:hint="eastAsia" w:asciiTheme="minorEastAsia" w:hAnsiTheme="minorEastAsia" w:eastAsiaTheme="minorEastAsia" w:cstheme="minorEastAsia"/>
          <w:color w:val="auto"/>
          <w:highlight w:val="none"/>
          <w:u w:val="single"/>
        </w:rPr>
        <w:t>　　年　　月　　日</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1、招标文件接受联合体投标且投标人为联合体的，投标人应提供本协议；否则无须提供。</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2、本协议由委托代理人签字或盖章的，应按照本章载明的格式提供“单位授权书”。</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3、在以联合体形式落实中小企业预留份额项目中，投标人除了要提供《中小企业声明函》，还需提供本协议。</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二-11分包意向协议（若有）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甲方（总包方）：</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（即本项目的投标人）</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乙方（分包方）：</w:t>
      </w:r>
      <w:r>
        <w:rPr>
          <w:rFonts w:hint="eastAsia" w:asciiTheme="minorEastAsia" w:hAnsiTheme="minorEastAsia" w:eastAsiaTheme="minorEastAsia" w:cstheme="minorEastAsia"/>
          <w:color w:val="auto"/>
          <w:highlight w:val="none"/>
          <w:u w:val="single"/>
        </w:rPr>
        <w:t>　　　　　　　</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兹有甲方参加</w:t>
      </w:r>
      <w:r>
        <w:rPr>
          <w:rFonts w:hint="eastAsia" w:asciiTheme="minorEastAsia" w:hAnsiTheme="minorEastAsia" w:eastAsiaTheme="minorEastAsia" w:cstheme="minorEastAsia"/>
          <w:color w:val="auto"/>
          <w:highlight w:val="none"/>
          <w:u w:val="single"/>
        </w:rPr>
        <w:t>（填写“项目名称”）</w:t>
      </w:r>
      <w:r>
        <w:rPr>
          <w:rFonts w:hint="eastAsia" w:asciiTheme="minorEastAsia" w:hAnsiTheme="minorEastAsia" w:eastAsiaTheme="minorEastAsia" w:cstheme="minorEastAsia"/>
          <w:color w:val="auto"/>
          <w:highlight w:val="none"/>
        </w:rPr>
        <w:t xml:space="preserve"> 项目（项目编号：</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一、分包标的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（根据双方的意向填写，可以是表格或文字描述）。</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二、分包合同金额占比</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分包合同价占投标总价的比例：</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三、其他条款</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住所：</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单位负责人或委托代理人：</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联系方法：</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w:t>
            </w:r>
          </w:p>
        </w:tc>
        <w:tc>
          <w:tcPr>
            <w:tcW w:w="415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9"/>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签订地点：</w:t>
            </w:r>
            <w:r>
              <w:rPr>
                <w:rFonts w:hint="eastAsia" w:asciiTheme="minorEastAsia" w:hAnsiTheme="minorEastAsia" w:eastAsiaTheme="minorEastAsia" w:cstheme="minorEastAsia"/>
                <w:color w:val="auto"/>
                <w:highlight w:val="none"/>
                <w:u w:val="single"/>
              </w:rPr>
              <w:t>　　　　　　　　　　</w:t>
            </w:r>
          </w:p>
          <w:p>
            <w:pPr>
              <w:pStyle w:val="9"/>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签约日期：</w:t>
            </w:r>
            <w:r>
              <w:rPr>
                <w:rFonts w:hint="eastAsia" w:asciiTheme="minorEastAsia" w:hAnsiTheme="minorEastAsia" w:eastAsiaTheme="minorEastAsia" w:cstheme="minorEastAsia"/>
                <w:color w:val="auto"/>
                <w:highlight w:val="none"/>
                <w:u w:val="single"/>
              </w:rPr>
              <w:t>　　年　　月　　日</w:t>
            </w:r>
          </w:p>
        </w:tc>
      </w:tr>
    </w:tbl>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1.招标文件接受合同分包且投标人拟将合同分包的，应提供本协议；否则无须提供。</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2.本协议由委托代理人签字或盖章的，应按照本章载明的格式提供“单位授权书”。</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3.在以合同分包形式落实中小企业预留份额项目中，投标人除了要提供《中小企业声明函》，还需提供本协议。</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二-12其他资格证明文件（若有）</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二-12-①具备履行合同所必需设备和专业技术能力专项证明材料（若有）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（采购人或采购代理机构）</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现附上我方具备履行合同所必需的设备和专业技术能力的专项证明材料复印件（具体附后），上述证明材料真实有效，否则我方负全部责任。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1、招标文件要求投标人提供“具备履行合同所必需的设备和专业技术能力专项证明材料”的，投标人应按照招标文件规定在此项下提供相应证明材料复印件。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2、投标人提供的相应证明材料复印件均应符合：内容完整、清晰、整洁，并由投标人加盖其单位公章。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二-12-②招标文件规定的其他资格证明文件（若有）</w:t>
      </w:r>
    </w:p>
    <w:p>
      <w:pPr>
        <w:pStyle w:val="9"/>
        <w:ind w:firstLine="48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编制说明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除招标文件另有规定外，招标文件要求提交的除前述资格证明文件外的其他资格证明文件（若有）加盖投标人的单位公章后应在此项下提交。</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三、投标保证金</w:t>
      </w:r>
    </w:p>
    <w:p>
      <w:pPr>
        <w:pStyle w:val="9"/>
        <w:ind w:firstLine="48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编制说明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1、在此项下提交的“投标保证金”材料可使用转账凭证复印件或从福建省政府采购网上公开信息系统中下载的有关原始页面的打印件。</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2、投标保证金是否已提交的认定按照招标文件第三章规定执行。</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封面格式(报价部分)</w:t>
      </w:r>
    </w:p>
    <w:p>
      <w:pPr>
        <w:pStyle w:val="9"/>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48"/>
          <w:highlight w:val="none"/>
        </w:rPr>
        <w:t>福建省政府采购投标文件</w:t>
      </w:r>
    </w:p>
    <w:p>
      <w:pPr>
        <w:pStyle w:val="9"/>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48"/>
          <w:highlight w:val="none"/>
        </w:rPr>
        <w:t>（报价部分）</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p>
    <w:p>
      <w:pPr>
        <w:pStyle w:val="9"/>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（填写正本或副本）</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（项目名称：（由投标人填写）</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（备案编号：（由投标人填写）</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（项目编号：（由投标人填写）</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（所投采购包：（由投标人填写）</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投标人：（填写“全称”）</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（由投标人填写）年（由投标人填写）月</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索引</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一、开标一览表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二、投标分项报价表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三、招标文件规定的价格扣除证明材料（若有）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四、招标文件规定的加分证明材料（若有）</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一、开标一览表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w:t>
            </w:r>
          </w:p>
        </w:tc>
        <w:tc>
          <w:tcPr>
            <w:tcW w:w="207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投标报价</w:t>
            </w:r>
          </w:p>
        </w:tc>
        <w:tc>
          <w:tcPr>
            <w:tcW w:w="207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投标保证金</w:t>
            </w:r>
          </w:p>
        </w:tc>
        <w:tc>
          <w:tcPr>
            <w:tcW w:w="207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投标总价（大写金额）：</w:t>
            </w:r>
            <w:r>
              <w:rPr>
                <w:rFonts w:hint="eastAsia" w:asciiTheme="minorEastAsia" w:hAnsiTheme="minorEastAsia" w:eastAsiaTheme="minorEastAsia" w:cstheme="minorEastAsia"/>
                <w:color w:val="auto"/>
                <w:highlight w:val="none"/>
                <w:u w:val="single"/>
              </w:rPr>
              <w:t>　　　　　　　　</w:t>
            </w:r>
          </w:p>
        </w:tc>
        <w:tc>
          <w:tcPr>
            <w:tcW w:w="2076" w:type="dxa"/>
          </w:tcPr>
          <w:p>
            <w:pPr>
              <w:rPr>
                <w:rFonts w:hint="eastAsia" w:asciiTheme="minorEastAsia" w:hAnsiTheme="minorEastAsia" w:eastAsiaTheme="minorEastAsia" w:cstheme="minorEastAsia"/>
                <w:color w:val="auto"/>
                <w:highlight w:val="none"/>
              </w:rPr>
            </w:pPr>
          </w:p>
        </w:tc>
        <w:tc>
          <w:tcPr>
            <w:tcW w:w="2076" w:type="dxa"/>
            <w:vMerge w:val="restart"/>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a.&gt;投标报价的明细：详见《投标分项报价表》。</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076"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投标总价（大写金额）：</w:t>
            </w:r>
            <w:r>
              <w:rPr>
                <w:rFonts w:hint="eastAsia" w:asciiTheme="minorEastAsia" w:hAnsiTheme="minorEastAsia" w:eastAsiaTheme="minorEastAsia" w:cstheme="minorEastAsia"/>
                <w:color w:val="auto"/>
                <w:highlight w:val="none"/>
                <w:u w:val="single"/>
              </w:rPr>
              <w:t>　　　　　　　　</w:t>
            </w:r>
          </w:p>
        </w:tc>
        <w:tc>
          <w:tcPr>
            <w:tcW w:w="2076" w:type="dxa"/>
          </w:tcPr>
          <w:p>
            <w:pPr>
              <w:rPr>
                <w:rFonts w:hint="eastAsia" w:asciiTheme="minorEastAsia" w:hAnsiTheme="minorEastAsia" w:eastAsiaTheme="minorEastAsia" w:cstheme="minorEastAsia"/>
                <w:color w:val="auto"/>
                <w:highlight w:val="none"/>
              </w:rPr>
            </w:pPr>
          </w:p>
        </w:tc>
        <w:tc>
          <w:tcPr>
            <w:tcW w:w="2076" w:type="dxa"/>
            <w:vMerge w:val="continue"/>
          </w:tcPr>
          <w:p>
            <w:pPr>
              <w:rPr>
                <w:rFonts w:hint="eastAsia" w:asciiTheme="minorEastAsia" w:hAnsiTheme="minorEastAsia" w:eastAsiaTheme="minorEastAsia" w:cstheme="minorEastAsia"/>
                <w:color w:val="auto"/>
                <w:highlight w:val="none"/>
              </w:rPr>
            </w:pPr>
          </w:p>
        </w:tc>
      </w:tr>
    </w:tbl>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1、本表应按照下列规定填写：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1.1投标人应按照本表格式填写所投的采购包的“投标报价”。</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1.2本表中列示的“采购包”应与《投标分项报价表》中列示的“采购包”保持一致，即：若本表中列示的“采购包”为“1”时，《投标分项报价表》中列示的“采购包”亦应为“1”，以此类推。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1.3“大写金额”指“投标报价”应用“壹、贰、叁、肆、伍、陆、柒、捌、玖、拾、佰、仟、万、亿、元、角、分、零”等进行填写。</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二、投标分项报价表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w:t>
            </w:r>
          </w:p>
        </w:tc>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品目号</w:t>
            </w:r>
          </w:p>
        </w:tc>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投标标的</w:t>
            </w:r>
          </w:p>
        </w:tc>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规格</w:t>
            </w:r>
          </w:p>
        </w:tc>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来源地</w:t>
            </w:r>
          </w:p>
        </w:tc>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单价（现场）</w:t>
            </w:r>
          </w:p>
        </w:tc>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总价（现场）</w:t>
            </w:r>
          </w:p>
        </w:tc>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rFonts w:hint="eastAsia" w:asciiTheme="minorEastAsia" w:hAnsiTheme="minorEastAsia" w:eastAsiaTheme="minorEastAsia" w:cstheme="minorEastAsia"/>
                <w:color w:val="auto"/>
                <w:highlight w:val="none"/>
              </w:rPr>
            </w:pPr>
          </w:p>
        </w:tc>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c>
          <w:tcPr>
            <w:tcW w:w="923" w:type="dxa"/>
          </w:tcPr>
          <w:p>
            <w:pPr>
              <w:rPr>
                <w:rFonts w:hint="eastAsia" w:asciiTheme="minorEastAsia" w:hAnsiTheme="minorEastAsia" w:eastAsiaTheme="minorEastAsia" w:cstheme="minorEastAsia"/>
                <w:color w:val="auto"/>
                <w:highlight w:val="none"/>
              </w:rPr>
            </w:pPr>
          </w:p>
        </w:tc>
      </w:tr>
    </w:tbl>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1、本表应按照下列规定填写：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1.3“投标标的”为服务的：“规格”项下应填写服务提供者提供的服务标准及品牌（若有）。“来源地”应填写服务提供者的所在地。</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1.4同一采购包中，“单价（现场）”×“数量”=“总价（现场）”，全部品目号“总价（现场）”的合计金额应与《开标一览表》中相应采购包列示的“投标总价”保持一致。</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1.5若招标文件要求投标人对“备品备件价格、专用工具价格、技术服务费、安装调试费、检验培训费、运输费、保险费、税收”等进行报价的，请在本表的“备注”项下填写。</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三、招标文件规定的价格扣除证明材料（若有）</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三-1优先类节能产品、环境标志产品价格扣除证明材料（若有）</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三-1-①优先类节能产品、环境标志产品统计表（价格扣除适用，若有）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Theme="minorEastAsia" w:hAnsiTheme="minorEastAsia" w:eastAsiaTheme="minorEastAsia" w:cstheme="minorEastAsia"/>
                <w:color w:val="auto"/>
                <w:highlight w:val="none"/>
              </w:rPr>
            </w:pPr>
          </w:p>
        </w:tc>
        <w:tc>
          <w:tcPr>
            <w:tcW w:w="7122" w:type="dxa"/>
            <w:gridSpan w:val="6"/>
          </w:tcPr>
          <w:p>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品目号</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货物名称</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单价（现场）</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总价（现场）</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Theme="minorEastAsia" w:hAnsiTheme="minorEastAsia" w:eastAsiaTheme="minorEastAsia" w:cstheme="minorEastAsia"/>
                <w:color w:val="auto"/>
                <w:highlight w:val="none"/>
              </w:rPr>
            </w:pP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pStyle w:val="9"/>
              <w:jc w:val="left"/>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c>
          <w:tcPr>
            <w:tcW w:w="7122" w:type="dxa"/>
            <w:gridSpan w:val="6"/>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a.采购包内属于节能、环境标志产品的报价总金额：</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b.采购包投标总价（报价总金额）：</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c.“采购包内属于节能、环境标志产品的报价总金额”占“采购包投标总价（报价总金额）”的比例（以%列示）：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w:t>
            </w:r>
          </w:p>
          <w:p>
            <w:pPr>
              <w:pStyle w:val="9"/>
              <w:jc w:val="left"/>
              <w:rPr>
                <w:rFonts w:hint="eastAsia" w:asciiTheme="minorEastAsia" w:hAnsiTheme="minorEastAsia" w:eastAsiaTheme="minorEastAsia" w:cstheme="minorEastAsia"/>
                <w:color w:val="auto"/>
                <w:highlight w:val="none"/>
              </w:rPr>
            </w:pPr>
          </w:p>
        </w:tc>
      </w:tr>
    </w:tbl>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1、对节能、环境标志产品计算价格扣除时，只依据电子投标文件“三-1-②优先类节能产品、环境标志产品证明材料（价格扣除适用，若有）”。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2、本表以采购包为单位，不同采购包请分别填写；同一采购包请按照其品目号顺序分别填写。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3、具体统计、计算：</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3.1若节能、环境标志产品仅是构成投标产品的部件、组件或零件，则该投标产品不享受鼓励优惠政策。同一品目中各认证证书不重复计算价格扣除。强制类节能产品不享受价格扣除。</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3.2计算结果若除不尽，可四舍五入保留到小数点后两位。</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3.3投标人应按照招标文件要求认真统计、计算，否则评标委员会不予认定。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3.4若无节能、环境标志产品，不填写本表，否则，视为提供虚假材料。</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三-1-②优先类节能产品、环境标志产品证明材料（价格扣除适用，若有）</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三-2小型、微型企业产品等价格扣除证明材料（若有）</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三-2-①中小企业声明函（价格扣除适用，若有）</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中小企业声明函（货物）</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highlight w:val="none"/>
          <w:u w:val="single"/>
        </w:rPr>
        <w:t>（单位名称）</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u w:val="single"/>
        </w:rPr>
        <w:t>（项目名称）</w:t>
      </w:r>
      <w:r>
        <w:rPr>
          <w:rFonts w:hint="eastAsia" w:asciiTheme="minorEastAsia" w:hAnsiTheme="minorEastAsia" w:eastAsiaTheme="minorEastAsia" w:cstheme="minorEastAsia"/>
          <w:color w:val="auto"/>
          <w:highlight w:val="none"/>
        </w:rPr>
        <w:t>采购活动，提供的货物全部由符合政策要求的中小企业制造。相关企业（含联合体中的中小企业、签订分包意向协议的中小企业）的具体情况如下：</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u w:val="single"/>
        </w:rPr>
        <w:t xml:space="preserve"> （标的名称） </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w:t>
      </w:r>
      <w:r>
        <w:rPr>
          <w:rFonts w:hint="eastAsia" w:asciiTheme="minorEastAsia" w:hAnsiTheme="minorEastAsia" w:eastAsiaTheme="minorEastAsia" w:cstheme="minorEastAsia"/>
          <w:color w:val="auto"/>
          <w:sz w:val="21"/>
          <w:highlight w:val="none"/>
          <w:vertAlign w:val="superscript"/>
        </w:rPr>
        <w:t>1</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u w:val="single"/>
        </w:rPr>
        <w:t xml:space="preserve"> （标的名称） </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万元，属于</w:t>
      </w:r>
      <w:r>
        <w:rPr>
          <w:rFonts w:hint="eastAsia" w:asciiTheme="minorEastAsia" w:hAnsiTheme="minorEastAsia" w:eastAsiaTheme="minorEastAsia" w:cstheme="minorEastAsia"/>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本企业对上述声明内容的真实性负责。如有虚假，将依法承担相应责任。</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1、从业人员、营业收入、资产总额填报上一年度数据，无上一年度数据的新成立企业可不填报。</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中小企业声明函（工程、服务）</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highlight w:val="none"/>
          <w:u w:val="single"/>
        </w:rPr>
        <w:t>（单位名称）</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u w:val="single"/>
        </w:rPr>
        <w:t>（项目名称）</w:t>
      </w:r>
      <w:r>
        <w:rPr>
          <w:rFonts w:hint="eastAsia" w:asciiTheme="minorEastAsia" w:hAnsiTheme="minorEastAsia" w:eastAsiaTheme="minorEastAsia" w:cstheme="minorEastAsia"/>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（采购文件中明确的所属行业）</w:t>
      </w:r>
      <w:r>
        <w:rPr>
          <w:rFonts w:hint="eastAsia" w:asciiTheme="minorEastAsia" w:hAnsiTheme="minorEastAsia" w:eastAsiaTheme="minorEastAsia" w:cstheme="minorEastAsia"/>
          <w:color w:val="auto"/>
          <w:highlight w:val="none"/>
        </w:rPr>
        <w:t>；承建（承接）企业为</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w:t>
      </w:r>
      <w:r>
        <w:rPr>
          <w:rFonts w:hint="eastAsia" w:asciiTheme="minorEastAsia" w:hAnsiTheme="minorEastAsia" w:eastAsiaTheme="minorEastAsia" w:cstheme="minorEastAsia"/>
          <w:color w:val="auto"/>
          <w:sz w:val="21"/>
          <w:highlight w:val="none"/>
          <w:vertAlign w:val="superscript"/>
        </w:rPr>
        <w:t>1</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color w:val="auto"/>
          <w:highlight w:val="none"/>
          <w:u w:val="single"/>
        </w:rPr>
        <w:t>（采购文件中明确的所属行业）</w:t>
      </w:r>
      <w:r>
        <w:rPr>
          <w:rFonts w:hint="eastAsia" w:asciiTheme="minorEastAsia" w:hAnsiTheme="minorEastAsia" w:eastAsiaTheme="minorEastAsia" w:cstheme="minorEastAsia"/>
          <w:color w:val="auto"/>
          <w:highlight w:val="none"/>
        </w:rPr>
        <w:t>；承建（承接）企业为</w:t>
      </w:r>
      <w:r>
        <w:rPr>
          <w:rFonts w:hint="eastAsia" w:asciiTheme="minorEastAsia" w:hAnsiTheme="minorEastAsia" w:eastAsiaTheme="minorEastAsia" w:cstheme="minorEastAsia"/>
          <w:color w:val="auto"/>
          <w:highlight w:val="none"/>
          <w:u w:val="single"/>
        </w:rPr>
        <w:t>（企业名称）</w:t>
      </w:r>
      <w:r>
        <w:rPr>
          <w:rFonts w:hint="eastAsia" w:asciiTheme="minorEastAsia" w:hAnsiTheme="minorEastAsia" w:eastAsiaTheme="minorEastAsia" w:cstheme="minorEastAsia"/>
          <w:color w:val="auto"/>
          <w:highlight w:val="none"/>
        </w:rPr>
        <w:t>，从业人员</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人，营业收入为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万元，资产总额为</w:t>
      </w:r>
      <w:r>
        <w:rPr>
          <w:rFonts w:hint="eastAsia" w:asciiTheme="minorEastAsia" w:hAnsiTheme="minorEastAsia" w:eastAsiaTheme="minorEastAsia" w:cstheme="minorEastAsia"/>
          <w:color w:val="auto"/>
          <w:highlight w:val="none"/>
          <w:u w:val="single"/>
        </w:rPr>
        <w:t>　　　　　</w:t>
      </w:r>
      <w:r>
        <w:rPr>
          <w:rFonts w:hint="eastAsia" w:asciiTheme="minorEastAsia" w:hAnsiTheme="minorEastAsia" w:eastAsiaTheme="minorEastAsia" w:cstheme="minorEastAsia"/>
          <w:color w:val="auto"/>
          <w:highlight w:val="none"/>
        </w:rPr>
        <w:t>万元，属于</w:t>
      </w:r>
      <w:r>
        <w:rPr>
          <w:rFonts w:hint="eastAsia" w:asciiTheme="minorEastAsia" w:hAnsiTheme="minorEastAsia" w:eastAsiaTheme="minorEastAsia" w:cstheme="minorEastAsia"/>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本企业对上述声明内容的真实性负责。如有虚假，将依法承担相应责任。</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1、从业人员、营业收入、资产总额填报上一年度数据，无上一年度数据的新成立企业可不填报。</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三-2-②小型、微型企业等证明材料（价格扣除适用，若有）</w:t>
      </w:r>
    </w:p>
    <w:p>
      <w:pPr>
        <w:pStyle w:val="9"/>
        <w:ind w:firstLine="48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编制说明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1、投标人应按照招标文件要求提供相应证明材料，证明材料应与《中小企业声明函》的内容相一致，否则视为《中小企业声明函》内容不真实。</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2、投标人为监狱企业的，根据其提供的由省级以上监狱管理局、戒毒管理局（含新疆生产建设兵团）出具的属于监狱企业的证明文件进行认定，监狱企业视同小型、微型企业。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残疾人福利性单位声明函（价格扣除适用，若有）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）由本投标人承建的（填写“所投采购包、品目号”）工程</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）由本投标人承接的（填写“所投采购包、品目号”）服务；</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本投标人对上述声明的真实性负责。如有虚假，将依法承担相应责任。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1、请投标人按照实际情况编制填写本声明函，并在相应的（）中打“√”。</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2、若《残疾人福利性单位声明函》内容不真实，视为提供虚假材料。</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监狱企业证明材料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三-3招标文件规定的其他价格扣除证明材料（若有）</w:t>
      </w:r>
    </w:p>
    <w:p>
      <w:pPr>
        <w:pStyle w:val="9"/>
        <w:ind w:firstLine="48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编制说明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四、招标文件规定的加分证明材料（若有）</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四-1优先类节能产品、环境标志产品加分证明材料（若有）</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四-1-①优先类节能产品、环境标志产品统计表（加分适用，若有）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Theme="minorEastAsia" w:hAnsiTheme="minorEastAsia" w:eastAsiaTheme="minorEastAsia" w:cstheme="minorEastAsia"/>
                <w:color w:val="auto"/>
                <w:highlight w:val="none"/>
              </w:rPr>
            </w:pPr>
          </w:p>
        </w:tc>
        <w:tc>
          <w:tcPr>
            <w:tcW w:w="7122" w:type="dxa"/>
            <w:gridSpan w:val="6"/>
          </w:tcPr>
          <w:p>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品目号</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货物名称</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单价（现场）</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总价（现场）</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Theme="minorEastAsia" w:hAnsiTheme="minorEastAsia" w:eastAsiaTheme="minorEastAsia" w:cstheme="minorEastAsia"/>
                <w:color w:val="auto"/>
                <w:highlight w:val="none"/>
              </w:rPr>
            </w:pP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r>
    </w:tbl>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1、对节能、环境标志产品计算价格扣除时，只依据电子投标文件“四-1-②优先类节能产品、环境标志产品加分证明材料（加分适用，若有）”。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2、本表以采购包为单位，不同采购包请分别填写；同一采购包请按照其品目号顺序分别填写。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3、具体统计、计算：</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3.1若节能、环境标志产品仅是构成投标产品的部件、组件或零件，则该投标产品不享受鼓励优惠政策。同一品目中各认证证书不重复计算价格扣除。强制类节能产品不享受价格扣除。</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3.2计算结果若除不尽，可四舍五入保留到小数点后两位。</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3.3投标人应按照招标文件要求认真统计、计算，否则评标委员会不予认定。</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3.4若无节能、环境标志产品，不填写本表，否则，视为提供虚假材料。</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四-1-②优先类节能产品、环境标志产品证明材料（加分适用，若有）</w:t>
      </w:r>
    </w:p>
    <w:p>
      <w:pPr>
        <w:pStyle w:val="9"/>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 xml:space="preserve"> 四-2招标文件规定的其他加分证明材料（若有）</w:t>
      </w:r>
    </w:p>
    <w:p>
      <w:pPr>
        <w:pStyle w:val="9"/>
        <w:ind w:firstLine="48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编制说明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若投标人可享受招标文件规定的除“优先类节能产品、环境标志产品加分”外的其他加分优惠，则投标人应按照招标文件要求提供相应证明材料。</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封面格式(技术商务部分)</w:t>
      </w:r>
    </w:p>
    <w:p>
      <w:pPr>
        <w:pStyle w:val="9"/>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48"/>
          <w:highlight w:val="none"/>
        </w:rPr>
        <w:t>福建省政府采购投标文件</w:t>
      </w:r>
    </w:p>
    <w:p>
      <w:pPr>
        <w:pStyle w:val="9"/>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48"/>
          <w:highlight w:val="none"/>
        </w:rPr>
        <w:t>（技术商务部分）</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p>
    <w:p>
      <w:pPr>
        <w:pStyle w:val="9"/>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6"/>
          <w:highlight w:val="none"/>
        </w:rPr>
        <w:t>（填写正本或副本）</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（项目名称：（由投标人填写）</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（备案编号：（由投标人填写）</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（项目编号：（由投标人填写）</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（所投采购包：（由投标人填写）</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投标人：（填写“全称”）</w:t>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（由投标人填写）年（由投标人填写）月</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索引</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一、标的说明一览表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二、技术和服务要求响应表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三、商务条件响应表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四、投标人提交的其他资料（若有）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技术商务部分中不得出现报价部分的全部或部分的投标报价信息（或组成资料），否则符合性审查不合格。</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一、标的说明一览表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品目号</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投标标的</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规格</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来源地</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rFonts w:hint="eastAsia" w:asciiTheme="minorEastAsia" w:hAnsiTheme="minorEastAsia" w:eastAsiaTheme="minorEastAsia" w:cstheme="minorEastAsia"/>
                <w:color w:val="auto"/>
                <w:highlight w:val="none"/>
              </w:rPr>
            </w:pPr>
          </w:p>
        </w:tc>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c>
          <w:tcPr>
            <w:tcW w:w="1187" w:type="dxa"/>
          </w:tcPr>
          <w:p>
            <w:pPr>
              <w:rPr>
                <w:rFonts w:hint="eastAsia" w:asciiTheme="minorEastAsia" w:hAnsiTheme="minorEastAsia" w:eastAsiaTheme="minorEastAsia" w:cstheme="minorEastAsia"/>
                <w:color w:val="auto"/>
                <w:highlight w:val="none"/>
              </w:rPr>
            </w:pPr>
          </w:p>
        </w:tc>
      </w:tr>
    </w:tbl>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1、本表应按照下列规定填写：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1.1“采购包”、“品目号”、“投标标的”及“数量”应与招标文件《采购标的一览表》中的有关内容（“采购包”、“品目号”、“采购标的”及“数量”）保持一致。</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3、电子投标文件中涉及“投标标的”、“数量”、“规格”、“来源地”的内容若不一致，应以本表为准。</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二、技术和服务要求响应表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w:t>
            </w: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品目号</w:t>
            </w: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技术和服务要求</w:t>
            </w: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投标响应</w:t>
            </w: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Theme="minorEastAsia" w:hAnsiTheme="minorEastAsia" w:eastAsiaTheme="minorEastAsia" w:cstheme="minorEastAsia"/>
                <w:color w:val="auto"/>
                <w:highlight w:val="none"/>
              </w:rPr>
            </w:pP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r>
    </w:tbl>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1、本表应按照下列规定填写：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1.1“技术和服务要求”项下填写的内容应与招标文件第五章“技术和服务要求”的内容保持一致。</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1.3“是否偏离及说明”项下应按下列规定填写：优于的，填写“正偏离”；符合的，填写“无偏离”；低于的，填写“负偏离”。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三、商务条件响应表</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采购包</w:t>
            </w: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品目号</w:t>
            </w: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商务条件</w:t>
            </w: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投标响应</w:t>
            </w: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Theme="minorEastAsia" w:hAnsiTheme="minorEastAsia" w:eastAsiaTheme="minorEastAsia" w:cstheme="minorEastAsia"/>
                <w:color w:val="auto"/>
                <w:highlight w:val="none"/>
              </w:rPr>
            </w:pPr>
          </w:p>
        </w:tc>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9"/>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c>
          <w:tcPr>
            <w:tcW w:w="1661" w:type="dxa"/>
          </w:tcPr>
          <w:p>
            <w:pPr>
              <w:rPr>
                <w:rFonts w:hint="eastAsia" w:asciiTheme="minorEastAsia" w:hAnsiTheme="minorEastAsia" w:eastAsiaTheme="minorEastAsia" w:cstheme="minorEastAsia"/>
                <w:color w:val="auto"/>
                <w:highlight w:val="none"/>
              </w:rPr>
            </w:pPr>
          </w:p>
        </w:tc>
      </w:tr>
    </w:tbl>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※注意：</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1、本表应按照下列规定填写：</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1.1“商务条件”项下填写的内容应与招标文件第五章“商务条件”的内容保持一致。</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1.2“投标响应”项下应填写具体的响应内容并与“商务条件”项下填写的内容逐项对应；对“商务条件”项下涉及“≥或＞”、“≤或＜”及某个区间值范围内的内容，应填写具体的数值。</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1.3“是否偏离及说明”项下应按下列规定填写：优于的，填写“正偏离”；符合的，填写“无偏离”；低于的，填写“负偏离”。</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u w:val="single"/>
        </w:rPr>
        <w:t>（全称并加盖单位公章）</w:t>
      </w:r>
    </w:p>
    <w:p>
      <w:pPr>
        <w:pStyle w:val="9"/>
        <w:ind w:firstLine="48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年　　月　　日</w:t>
      </w:r>
    </w:p>
    <w:p>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page"/>
      </w:r>
    </w:p>
    <w:p>
      <w:pPr>
        <w:pStyle w:val="9"/>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四、投标人提交的其他资料（若有）</w:t>
      </w:r>
    </w:p>
    <w:p>
      <w:pPr>
        <w:pStyle w:val="9"/>
        <w:ind w:firstLine="48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编制说明</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1、招标文件要求提交的除“资格及资信证明部分”、“报价部分”外的其他证明材料或资料加盖投标人的单位公章后应在此项下提交。</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2、招标文件要求投标人提供方案（包括但不限于：组织、实施、技术、服务方案等）的，投标人应在此项下提交。</w:t>
      </w:r>
    </w:p>
    <w:p>
      <w:pPr>
        <w:pStyle w:val="9"/>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3、除招标文件另有规定外，投标人认为需要提交的其他证明材料或资料加盖投标人的单位公章后应在此项下提交。</w:t>
      </w:r>
    </w:p>
    <w:p>
      <w:pPr>
        <w:pStyle w:val="9"/>
        <w:rPr>
          <w:rFonts w:hint="eastAsia" w:asciiTheme="minorEastAsia" w:hAnsiTheme="minorEastAsia" w:eastAsiaTheme="minorEastAsia" w:cstheme="minorEastAsia"/>
          <w:color w:val="auto"/>
          <w:highlight w:val="none"/>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NjQ0ZWZmN2U4NWYyMGNhZWRiNTU1MDBjOWRhYzgifQ=="/>
  </w:docVars>
  <w:rsids>
    <w:rsidRoot w:val="53B52B8D"/>
    <w:rsid w:val="058B1D2A"/>
    <w:rsid w:val="065F7326"/>
    <w:rsid w:val="06734B80"/>
    <w:rsid w:val="08AC25CB"/>
    <w:rsid w:val="0A684D6E"/>
    <w:rsid w:val="0D5A43A4"/>
    <w:rsid w:val="0E582F4D"/>
    <w:rsid w:val="177F50ED"/>
    <w:rsid w:val="19244048"/>
    <w:rsid w:val="1AD8269C"/>
    <w:rsid w:val="1D183933"/>
    <w:rsid w:val="1D8A4831"/>
    <w:rsid w:val="1DEB5AAF"/>
    <w:rsid w:val="22FC039A"/>
    <w:rsid w:val="29E54B61"/>
    <w:rsid w:val="2B56699D"/>
    <w:rsid w:val="2FF42FE5"/>
    <w:rsid w:val="30534F57"/>
    <w:rsid w:val="31692558"/>
    <w:rsid w:val="33061298"/>
    <w:rsid w:val="33EC5CE4"/>
    <w:rsid w:val="3727521F"/>
    <w:rsid w:val="375C0B95"/>
    <w:rsid w:val="378105FB"/>
    <w:rsid w:val="385F0B0B"/>
    <w:rsid w:val="3B377B9D"/>
    <w:rsid w:val="3B984165"/>
    <w:rsid w:val="4379487C"/>
    <w:rsid w:val="44E126D9"/>
    <w:rsid w:val="46B5206F"/>
    <w:rsid w:val="48671159"/>
    <w:rsid w:val="4871646A"/>
    <w:rsid w:val="4B3317B5"/>
    <w:rsid w:val="51F86E0C"/>
    <w:rsid w:val="53322BAF"/>
    <w:rsid w:val="53B52B8D"/>
    <w:rsid w:val="56077490"/>
    <w:rsid w:val="563E013B"/>
    <w:rsid w:val="58A61818"/>
    <w:rsid w:val="59345076"/>
    <w:rsid w:val="5AF03A31"/>
    <w:rsid w:val="614D44D2"/>
    <w:rsid w:val="67372D0B"/>
    <w:rsid w:val="6BF15048"/>
    <w:rsid w:val="6C5E05B9"/>
    <w:rsid w:val="6EE44211"/>
    <w:rsid w:val="6F5A6882"/>
    <w:rsid w:val="71FB092D"/>
    <w:rsid w:val="732C09A4"/>
    <w:rsid w:val="74BC7756"/>
    <w:rsid w:val="76D161A2"/>
    <w:rsid w:val="77F79321"/>
    <w:rsid w:val="7C9B4B16"/>
    <w:rsid w:val="7CE86115"/>
    <w:rsid w:val="7ED06D3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qFormat/>
    <w:uiPriority w:val="0"/>
    <w:rPr>
      <w:rFonts w:ascii="宋体" w:hAnsi="Courier New" w:cs="宋体"/>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 w:type="paragraph" w:customStyle="1" w:styleId="9">
    <w:name w:val="null3"/>
    <w:autoRedefine/>
    <w:hidden/>
    <w:qFormat/>
    <w:uiPriority w:val="0"/>
    <w:rPr>
      <w:rFonts w:hint="eastAsia" w:asciiTheme="minorHAnsi" w:hAnsiTheme="minorHAnsi" w:eastAsiaTheme="minorEastAsia" w:cstheme="minorBidi"/>
      <w:lang w:val="en-US" w:eastAsia="zh-Hans"/>
    </w:rPr>
  </w:style>
  <w:style w:type="paragraph" w:customStyle="1" w:styleId="10">
    <w:name w:val="Medium Grid 21"/>
    <w:qFormat/>
    <w:uiPriority w:val="1"/>
    <w:rPr>
      <w:rFonts w:ascii="Calibri" w:hAnsi="Calibri" w:eastAsia="宋体" w:cs="Times New Roman"/>
      <w:sz w:val="22"/>
      <w:szCs w:val="22"/>
      <w:lang w:val="en-US" w:eastAsia="zh-CN" w:bidi="ar-SA"/>
    </w:rPr>
  </w:style>
  <w:style w:type="paragraph" w:styleId="11">
    <w:name w:val="List Paragraph"/>
    <w:basedOn w:val="1"/>
    <w:qFormat/>
    <w:uiPriority w:val="72"/>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FanShuZhen</cp:lastModifiedBy>
  <dcterms:modified xsi:type="dcterms:W3CDTF">2024-01-08T02:03:32Z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93FB1A4C5B6446AEA6B3FA7DD5D6D9CA_13</vt:lpwstr>
  </property>
</Properties>
</file>