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sz w:val="30"/>
          <w:szCs w:val="30"/>
        </w:rPr>
      </w:pPr>
      <w:r>
        <w:rPr>
          <w:rFonts w:hint="eastAsia" w:ascii="仿宋" w:hAnsi="仿宋" w:eastAsia="仿宋" w:cs="仿宋"/>
          <w:sz w:val="30"/>
          <w:szCs w:val="30"/>
        </w:rPr>
        <w:t>2024年福建省立医院心</w:t>
      </w:r>
      <w:r>
        <w:rPr>
          <w:rFonts w:hint="eastAsia" w:ascii="仿宋" w:hAnsi="仿宋" w:eastAsia="仿宋" w:cs="仿宋"/>
          <w:sz w:val="30"/>
          <w:szCs w:val="30"/>
          <w:u w:val="none"/>
        </w:rPr>
        <w:t>电诊断科——食管法心脏电生理检查</w:t>
      </w:r>
      <w:r>
        <w:rPr>
          <w:rFonts w:hint="eastAsia" w:ascii="仿宋" w:hAnsi="仿宋" w:eastAsia="仿宋" w:cs="仿宋"/>
          <w:sz w:val="30"/>
          <w:szCs w:val="30"/>
          <w:u w:val="none"/>
        </w:rPr>
        <w:t>专项进修</w:t>
      </w:r>
      <w:r>
        <w:rPr>
          <w:rFonts w:hint="eastAsia" w:ascii="仿宋" w:hAnsi="仿宋" w:eastAsia="仿宋" w:cs="仿宋"/>
          <w:sz w:val="30"/>
          <w:szCs w:val="30"/>
        </w:rPr>
        <w:t>招生简章</w:t>
      </w:r>
    </w:p>
    <w:p>
      <w:pPr>
        <w:rPr>
          <w:rFonts w:ascii="仿宋" w:hAnsi="仿宋" w:eastAsia="仿宋" w:cs="仿宋"/>
          <w:sz w:val="24"/>
          <w:szCs w:val="24"/>
        </w:rPr>
      </w:pPr>
      <w:r>
        <w:rPr>
          <w:rFonts w:hint="eastAsia" w:ascii="仿宋" w:hAnsi="仿宋" w:eastAsia="仿宋" w:cs="仿宋"/>
          <w:b/>
          <w:bCs/>
          <w:sz w:val="24"/>
          <w:szCs w:val="24"/>
        </w:rPr>
        <w:t>一、科室介绍</w:t>
      </w:r>
    </w:p>
    <w:p>
      <w:pPr>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福建省立医院心电诊断科是福建省内最早开展无创心电生理诊断工作的独立科室，荣获“福建省五一先锋号”、“福建省直机关巾帼文明岗”等称号，一人获“省五一劳动奖章”，四人获“福建省金牌工匠”。我科是中国心电医联体联盟副主席、中国动态心电图专业委员会副主任、中国保健医学研究会数智健康分会常委、国家健康医疗大数据“互联网+”常委、中国心电学会福建培训中心、全国远程心电会诊中心示范基地等单位。在仪器设备、就诊人数、综合诊断技术水平、新业务新技术开展、继续医学教育和科研等方面处于省内领先地位，是全省诊断心律失常及心电生理疑难病例最多的科室。</w:t>
      </w:r>
    </w:p>
    <w:p>
      <w:pPr>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连续十一年成功组织并举办全国临床心电图学新技术及新动向学习班，加强了省内、国内、国际的技术交流，推进各项新技术在我省的规范应用。特聘国内顶级专家郭继鸿教授为学术顾问，负责人任首届福建医学会心电学分会主任委员。</w:t>
      </w:r>
    </w:p>
    <w:p>
      <w:pPr>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专科特色：拥有多种先进仪器设备，并运用远程心电检测系统进行心电功能检查。除常规项目外，开展了食管法心脏电生理检查（食道调搏）、无创中心动脉压监测、心电向量图、窦性心率震荡、心率变异分析、频谱心电图、心室晚电位、平板运动试验、起搏器程控、网络心电会诊系统等技术。</w:t>
      </w:r>
    </w:p>
    <w:p>
      <w:pPr>
        <w:rPr>
          <w:rFonts w:ascii="仿宋" w:hAnsi="仿宋" w:eastAsia="仿宋" w:cs="仿宋"/>
          <w:sz w:val="24"/>
          <w:szCs w:val="24"/>
        </w:rPr>
      </w:pPr>
      <w:r>
        <w:rPr>
          <w:rFonts w:hint="eastAsia" w:ascii="仿宋" w:hAnsi="仿宋" w:eastAsia="仿宋" w:cs="仿宋"/>
          <w:b/>
          <w:bCs/>
          <w:sz w:val="24"/>
          <w:szCs w:val="24"/>
        </w:rPr>
        <w:t>二、学员要求</w:t>
      </w:r>
    </w:p>
    <w:p>
      <w:pPr>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1.思想作风良好，身体健康。</w:t>
      </w:r>
    </w:p>
    <w:p>
      <w:pPr>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2.具备</w:t>
      </w:r>
      <w:r>
        <w:rPr>
          <w:rFonts w:hint="eastAsia" w:ascii="仿宋" w:hAnsi="仿宋" w:eastAsia="仿宋" w:cs="仿宋"/>
          <w:sz w:val="24"/>
          <w:szCs w:val="24"/>
          <w:lang w:val="en-US" w:eastAsia="zh-CN"/>
        </w:rPr>
        <w:t>医师</w:t>
      </w:r>
      <w:r>
        <w:rPr>
          <w:rFonts w:hint="eastAsia" w:ascii="仿宋" w:hAnsi="仿宋" w:eastAsia="仿宋" w:cs="仿宋"/>
          <w:sz w:val="24"/>
          <w:szCs w:val="24"/>
        </w:rPr>
        <w:t>执业资格，具有一定的理论及实践基础，需具备一定的心律失常心电判读能力，若能力未及需同步进修相关内容。</w:t>
      </w:r>
    </w:p>
    <w:p>
      <w:pPr>
        <w:rPr>
          <w:rFonts w:ascii="仿宋" w:hAnsi="仿宋" w:eastAsia="仿宋" w:cs="仿宋"/>
          <w:sz w:val="24"/>
          <w:szCs w:val="24"/>
        </w:rPr>
      </w:pPr>
      <w:r>
        <w:rPr>
          <w:rFonts w:ascii="仿宋" w:hAnsi="仿宋" w:eastAsia="仿宋" w:cs="仿宋"/>
          <w:sz w:val="24"/>
          <w:szCs w:val="24"/>
        </w:rPr>
        <w:t xml:space="preserve">    3.</w:t>
      </w:r>
      <w:r>
        <w:rPr>
          <w:rFonts w:hint="eastAsia" w:ascii="仿宋" w:hAnsi="仿宋" w:eastAsia="仿宋" w:cs="仿宋"/>
          <w:sz w:val="24"/>
          <w:szCs w:val="24"/>
        </w:rPr>
        <w:t>执业范围及年限：心电诊断相关专业，从事本专业</w:t>
      </w:r>
      <w:r>
        <w:rPr>
          <w:rFonts w:ascii="仿宋" w:hAnsi="仿宋" w:eastAsia="仿宋" w:cs="仿宋"/>
          <w:sz w:val="24"/>
          <w:szCs w:val="24"/>
        </w:rPr>
        <w:t>1</w:t>
      </w:r>
      <w:r>
        <w:rPr>
          <w:rFonts w:hint="eastAsia" w:ascii="仿宋" w:hAnsi="仿宋" w:eastAsia="仿宋" w:cs="仿宋"/>
          <w:sz w:val="24"/>
          <w:szCs w:val="24"/>
        </w:rPr>
        <w:t>年及以上。</w:t>
      </w:r>
    </w:p>
    <w:p>
      <w:pPr>
        <w:rPr>
          <w:rFonts w:ascii="仿宋" w:hAnsi="仿宋" w:eastAsia="仿宋" w:cs="仿宋"/>
          <w:sz w:val="24"/>
          <w:szCs w:val="24"/>
        </w:rPr>
      </w:pPr>
      <w:r>
        <w:rPr>
          <w:rFonts w:hint="eastAsia" w:ascii="仿宋" w:hAnsi="仿宋" w:eastAsia="仿宋" w:cs="仿宋"/>
          <w:b/>
          <w:bCs/>
          <w:sz w:val="24"/>
          <w:szCs w:val="24"/>
        </w:rPr>
        <w:t>三、培训目标</w:t>
      </w:r>
    </w:p>
    <w:p>
      <w:pPr>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食管法心脏电生理检查是一项无创的心脏电生理技术，简单易行，安全可靠。通过经食管心脏电生理的临床专项培训，掌握急救知识和技能，通过理论培训，至少参与或在监督下完成50例病例操作，达到独立操作检查、出具合格报告的能力，通过系统培训及考核，颁发技能培训证书。</w:t>
      </w:r>
    </w:p>
    <w:p>
      <w:pPr>
        <w:rPr>
          <w:rFonts w:ascii="仿宋" w:hAnsi="仿宋" w:eastAsia="仿宋" w:cs="仿宋"/>
          <w:b/>
          <w:bCs/>
          <w:sz w:val="24"/>
          <w:szCs w:val="24"/>
        </w:rPr>
      </w:pPr>
      <w:r>
        <w:rPr>
          <w:rFonts w:hint="eastAsia" w:ascii="仿宋" w:hAnsi="仿宋" w:eastAsia="仿宋" w:cs="仿宋"/>
          <w:b/>
          <w:bCs/>
          <w:sz w:val="24"/>
          <w:szCs w:val="24"/>
        </w:rPr>
        <w:t>四、培训内容及方式</w:t>
      </w:r>
    </w:p>
    <w:p>
      <w:pPr>
        <w:rPr>
          <w:rFonts w:ascii="仿宋" w:hAnsi="仿宋" w:eastAsia="仿宋" w:cs="仿宋"/>
          <w:sz w:val="24"/>
          <w:szCs w:val="24"/>
        </w:rPr>
      </w:pPr>
      <w:r>
        <w:rPr>
          <w:rFonts w:ascii="仿宋" w:hAnsi="仿宋" w:eastAsia="仿宋" w:cs="仿宋"/>
          <w:sz w:val="24"/>
          <w:szCs w:val="24"/>
        </w:rPr>
        <w:t xml:space="preserve">   1.</w:t>
      </w:r>
      <w:r>
        <w:rPr>
          <w:rFonts w:hint="eastAsia" w:ascii="仿宋" w:hAnsi="仿宋" w:eastAsia="仿宋" w:cs="仿宋"/>
          <w:sz w:val="24"/>
          <w:szCs w:val="24"/>
        </w:rPr>
        <w:t>理论培训阶段：通过阅读参考书籍、讲座培训、网络学习平台自学完成以下内容：</w:t>
      </w:r>
      <w:r>
        <w:rPr>
          <w:rFonts w:ascii="仿宋" w:hAnsi="仿宋" w:eastAsia="仿宋" w:cs="仿宋"/>
          <w:sz w:val="24"/>
          <w:szCs w:val="24"/>
        </w:rPr>
        <w:t>a.</w:t>
      </w:r>
      <w:r>
        <w:rPr>
          <w:rFonts w:hint="eastAsia" w:ascii="仿宋" w:hAnsi="仿宋" w:eastAsia="仿宋" w:cs="仿宋"/>
          <w:sz w:val="24"/>
          <w:szCs w:val="24"/>
        </w:rPr>
        <w:t>食管法心脏电生理检查适应症与禁忌症;</w:t>
      </w:r>
      <w:r>
        <w:rPr>
          <w:rFonts w:ascii="仿宋" w:hAnsi="仿宋" w:eastAsia="仿宋" w:cs="仿宋"/>
          <w:sz w:val="24"/>
          <w:szCs w:val="24"/>
        </w:rPr>
        <w:t>b.</w:t>
      </w:r>
      <w:r>
        <w:rPr>
          <w:rFonts w:hint="eastAsia" w:ascii="仿宋" w:hAnsi="仿宋" w:eastAsia="仿宋" w:cs="仿宋"/>
          <w:sz w:val="24"/>
          <w:szCs w:val="24"/>
        </w:rPr>
        <w:t>食管法心脏电生理检查安全性与人员要求；c</w:t>
      </w:r>
      <w:r>
        <w:rPr>
          <w:rFonts w:ascii="仿宋" w:hAnsi="仿宋" w:eastAsia="仿宋" w:cs="仿宋"/>
          <w:sz w:val="24"/>
          <w:szCs w:val="24"/>
        </w:rPr>
        <w:t>.</w:t>
      </w:r>
      <w:r>
        <w:rPr>
          <w:rFonts w:hint="eastAsia" w:ascii="仿宋" w:hAnsi="仿宋" w:eastAsia="仿宋" w:cs="仿宋"/>
          <w:sz w:val="24"/>
          <w:szCs w:val="24"/>
        </w:rPr>
        <w:t>食管法心脏电生理检查操作与检查流程；d</w:t>
      </w:r>
      <w:r>
        <w:rPr>
          <w:rFonts w:ascii="仿宋" w:hAnsi="仿宋" w:eastAsia="仿宋" w:cs="仿宋"/>
          <w:sz w:val="24"/>
          <w:szCs w:val="24"/>
        </w:rPr>
        <w:t>.</w:t>
      </w:r>
      <w:r>
        <w:rPr>
          <w:rFonts w:hint="eastAsia" w:ascii="仿宋" w:hAnsi="仿宋" w:eastAsia="仿宋" w:cs="仿宋"/>
          <w:sz w:val="24"/>
          <w:szCs w:val="24"/>
        </w:rPr>
        <w:t>食管法心脏电生理检查诊断与风险评估；e.食管法心脏电生理检查报告内容。</w:t>
      </w:r>
    </w:p>
    <w:p>
      <w:pPr>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2.</w:t>
      </w:r>
      <w:r>
        <w:rPr>
          <w:rFonts w:hint="eastAsia" w:ascii="仿宋" w:hAnsi="仿宋" w:eastAsia="仿宋" w:cs="仿宋"/>
          <w:sz w:val="24"/>
          <w:szCs w:val="24"/>
        </w:rPr>
        <w:t>实践阶段：与理论培训同步进行，第一阶段观摩操作，熟悉流程，掌握操作前谈话技巧；第二阶段掌握食管电极插管操作；第三阶段掌握检查流程，重点掌握诱发及终止心动过速操作技巧；第四阶段独立完成检查及出具报告。实践阶段至少参与或在监督下完成50例病例操作。</w:t>
      </w:r>
    </w:p>
    <w:p>
      <w:pPr>
        <w:rPr>
          <w:rFonts w:hint="eastAsia"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3.</w:t>
      </w:r>
      <w:r>
        <w:rPr>
          <w:rFonts w:hint="eastAsia" w:ascii="仿宋" w:hAnsi="仿宋" w:eastAsia="仿宋" w:cs="仿宋"/>
          <w:sz w:val="24"/>
          <w:szCs w:val="24"/>
        </w:rPr>
        <w:t>免费参加全国临床心电图学新技术及新动向学习班，按要求完成学习任务可优先获得国家继续教育学分。</w:t>
      </w:r>
    </w:p>
    <w:p>
      <w:pPr>
        <w:rPr>
          <w:rFonts w:ascii="仿宋" w:hAnsi="仿宋" w:eastAsia="仿宋" w:cs="仿宋"/>
          <w:sz w:val="24"/>
          <w:szCs w:val="24"/>
        </w:rPr>
      </w:pPr>
      <w:r>
        <w:rPr>
          <w:rFonts w:hint="eastAsia" w:ascii="仿宋" w:hAnsi="仿宋" w:eastAsia="仿宋" w:cs="仿宋"/>
          <w:b/>
          <w:bCs/>
          <w:sz w:val="24"/>
          <w:szCs w:val="24"/>
        </w:rPr>
        <w:t>五、培训时长及招收月份</w:t>
      </w:r>
    </w:p>
    <w:p>
      <w:pPr>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培训时长：3个月及以上；不限招收月份。</w:t>
      </w:r>
    </w:p>
    <w:p>
      <w:pPr>
        <w:rPr>
          <w:rFonts w:ascii="仿宋" w:hAnsi="仿宋" w:eastAsia="仿宋" w:cs="仿宋"/>
          <w:sz w:val="24"/>
          <w:szCs w:val="24"/>
        </w:rPr>
      </w:pPr>
      <w:r>
        <w:rPr>
          <w:rFonts w:hint="eastAsia" w:ascii="仿宋" w:hAnsi="仿宋" w:eastAsia="仿宋" w:cs="仿宋"/>
          <w:b/>
          <w:bCs/>
          <w:sz w:val="24"/>
          <w:szCs w:val="24"/>
        </w:rPr>
        <w:t>六、报名流程</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1.报名方式：下载并填写《福建省立医院专项进修项目申请表》（附件，下载地址：福建省立医院官网-行政管理-毕业后教育-</w:t>
      </w:r>
      <w:r>
        <w:fldChar w:fldCharType="begin"/>
      </w:r>
      <w:r>
        <w:instrText xml:space="preserve"> HYPERLINK "https://www.fjsl.com.cn/node/272.jspx" </w:instrText>
      </w:r>
      <w:r>
        <w:fldChar w:fldCharType="separate"/>
      </w:r>
      <w:r>
        <w:rPr>
          <w:rFonts w:hint="eastAsia" w:ascii="仿宋" w:hAnsi="仿宋" w:eastAsia="仿宋" w:cs="仿宋"/>
          <w:sz w:val="24"/>
          <w:szCs w:val="24"/>
        </w:rPr>
        <w:t>进修申请-专</w:t>
      </w:r>
      <w:r>
        <w:rPr>
          <w:rFonts w:hint="eastAsia" w:ascii="仿宋" w:hAnsi="仿宋" w:eastAsia="仿宋" w:cs="仿宋"/>
          <w:sz w:val="24"/>
          <w:szCs w:val="24"/>
        </w:rPr>
        <w:fldChar w:fldCharType="end"/>
      </w:r>
      <w:r>
        <w:rPr>
          <w:rFonts w:hint="eastAsia" w:ascii="仿宋" w:hAnsi="仿宋" w:eastAsia="仿宋" w:cs="仿宋"/>
          <w:sz w:val="24"/>
          <w:szCs w:val="24"/>
        </w:rPr>
        <w:t>项进修项目，网址：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"https://www.fjsl.com.cn/node/271.jspx"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rPr>
        <w:t>https://www.fjsl.com.cn/node/271.jspx</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原单位盖章后扫描发送至fjslyjb@126.com，邮件主题为“电诊断科——食管法心脏电生理检查+学员姓名+单位名称”。欢迎电话或邮件咨询。</w:t>
      </w:r>
    </w:p>
    <w:p>
      <w:pPr>
        <w:ind w:firstLine="480" w:firstLineChars="200"/>
        <w:rPr>
          <w:rFonts w:ascii="仿宋" w:hAnsi="仿宋" w:eastAsia="仿宋" w:cs="仿宋"/>
          <w:sz w:val="24"/>
          <w:szCs w:val="24"/>
        </w:rPr>
      </w:pPr>
      <w:r>
        <w:rPr>
          <w:rFonts w:hint="eastAsia" w:ascii="仿宋" w:hAnsi="仿宋" w:eastAsia="仿宋" w:cs="仿宋"/>
          <w:sz w:val="24"/>
          <w:szCs w:val="24"/>
        </w:rPr>
        <w:t>2.学员发送电子邮件后，我院继教办将发送进修通知到学员电子邮箱，请注意查收，学员按电子邮件准备报到材料，按时到继教办办理进修手续。</w:t>
      </w:r>
    </w:p>
    <w:p>
      <w:pPr>
        <w:ind w:firstLine="480" w:firstLineChars="200"/>
        <w:rPr>
          <w:rFonts w:ascii="仿宋" w:hAnsi="仿宋" w:eastAsia="仿宋" w:cs="仿宋"/>
          <w:sz w:val="24"/>
          <w:szCs w:val="24"/>
          <w:highlight w:val="yellow"/>
        </w:rPr>
      </w:pPr>
      <w:bookmarkStart w:id="0" w:name="_GoBack"/>
      <w:bookmarkEnd w:id="0"/>
      <w:r>
        <w:rPr>
          <w:rFonts w:hint="eastAsia" w:ascii="仿宋" w:hAnsi="仿宋" w:eastAsia="仿宋" w:cs="仿宋"/>
          <w:sz w:val="24"/>
          <w:szCs w:val="24"/>
        </w:rPr>
        <w:t>3.联系方式：临床科室：</w:t>
      </w:r>
      <w:r>
        <w:rPr>
          <w:rFonts w:ascii="仿宋" w:hAnsi="仿宋" w:eastAsia="仿宋" w:cs="仿宋"/>
          <w:sz w:val="24"/>
          <w:szCs w:val="24"/>
        </w:rPr>
        <w:t>059188217957</w:t>
      </w:r>
      <w:r>
        <w:rPr>
          <w:rFonts w:hint="eastAsia" w:ascii="仿宋" w:hAnsi="仿宋" w:eastAsia="仿宋" w:cs="仿宋"/>
          <w:sz w:val="24"/>
          <w:szCs w:val="24"/>
          <w:highlight w:val="none"/>
        </w:rPr>
        <w:t xml:space="preserve">（高医生） </w:t>
      </w:r>
      <w:r>
        <w:rPr>
          <w:rFonts w:hint="eastAsia" w:ascii="仿宋" w:hAnsi="仿宋" w:eastAsia="仿宋" w:cs="仿宋"/>
          <w:sz w:val="24"/>
          <w:szCs w:val="24"/>
        </w:rPr>
        <w:t>继教办:059188216022（林老师）。</w:t>
      </w:r>
    </w:p>
    <w:p>
      <w:pPr>
        <w:rPr>
          <w:rFonts w:ascii="仿宋" w:hAnsi="仿宋" w:eastAsia="仿宋" w:cs="仿宋"/>
          <w:sz w:val="24"/>
          <w:szCs w:val="24"/>
          <w:highlight w:val="yellow"/>
        </w:rPr>
      </w:pPr>
    </w:p>
    <w:p>
      <w:pPr>
        <w:rPr>
          <w:rFonts w:ascii="仿宋" w:hAnsi="仿宋" w:eastAsia="仿宋" w:cs="仿宋"/>
          <w:sz w:val="24"/>
          <w:szCs w:val="24"/>
          <w:highlight w:val="yellow"/>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3YjllYmIxNGQ3YmJhZjM4ZWNhYzgxNWY3YmY0ODMifQ=="/>
  </w:docVars>
  <w:rsids>
    <w:rsidRoot w:val="00FD541F"/>
    <w:rsid w:val="000423D5"/>
    <w:rsid w:val="000576BB"/>
    <w:rsid w:val="000670A1"/>
    <w:rsid w:val="00084938"/>
    <w:rsid w:val="00094DAC"/>
    <w:rsid w:val="000A7019"/>
    <w:rsid w:val="000B2E63"/>
    <w:rsid w:val="000B51B2"/>
    <w:rsid w:val="001311C7"/>
    <w:rsid w:val="0014020D"/>
    <w:rsid w:val="001429AC"/>
    <w:rsid w:val="00152E7D"/>
    <w:rsid w:val="00181B4D"/>
    <w:rsid w:val="0018221E"/>
    <w:rsid w:val="001F5A7E"/>
    <w:rsid w:val="00210001"/>
    <w:rsid w:val="00220CA1"/>
    <w:rsid w:val="002452A9"/>
    <w:rsid w:val="00255074"/>
    <w:rsid w:val="00256839"/>
    <w:rsid w:val="00260EB9"/>
    <w:rsid w:val="00270082"/>
    <w:rsid w:val="00283CA5"/>
    <w:rsid w:val="002873D9"/>
    <w:rsid w:val="002B1615"/>
    <w:rsid w:val="002D511A"/>
    <w:rsid w:val="00304120"/>
    <w:rsid w:val="003250E6"/>
    <w:rsid w:val="00341E5B"/>
    <w:rsid w:val="00347309"/>
    <w:rsid w:val="00353AE9"/>
    <w:rsid w:val="003834C8"/>
    <w:rsid w:val="00396154"/>
    <w:rsid w:val="003A510C"/>
    <w:rsid w:val="003B47AC"/>
    <w:rsid w:val="00405CF9"/>
    <w:rsid w:val="00416807"/>
    <w:rsid w:val="00447C63"/>
    <w:rsid w:val="00477C80"/>
    <w:rsid w:val="00482496"/>
    <w:rsid w:val="0048646F"/>
    <w:rsid w:val="004A4D2C"/>
    <w:rsid w:val="004C40DE"/>
    <w:rsid w:val="005173D2"/>
    <w:rsid w:val="00524142"/>
    <w:rsid w:val="00543C07"/>
    <w:rsid w:val="005456F6"/>
    <w:rsid w:val="005579D9"/>
    <w:rsid w:val="005C61EE"/>
    <w:rsid w:val="006D6892"/>
    <w:rsid w:val="006F2FD3"/>
    <w:rsid w:val="00704F5D"/>
    <w:rsid w:val="007059A8"/>
    <w:rsid w:val="00715CDD"/>
    <w:rsid w:val="00751826"/>
    <w:rsid w:val="00774415"/>
    <w:rsid w:val="007807B4"/>
    <w:rsid w:val="007908D9"/>
    <w:rsid w:val="007D3C64"/>
    <w:rsid w:val="007D7C2C"/>
    <w:rsid w:val="00863AC2"/>
    <w:rsid w:val="008C3EB9"/>
    <w:rsid w:val="008E736B"/>
    <w:rsid w:val="008F0F5C"/>
    <w:rsid w:val="008F2CF1"/>
    <w:rsid w:val="00906E40"/>
    <w:rsid w:val="00912ED9"/>
    <w:rsid w:val="0092664A"/>
    <w:rsid w:val="0092718A"/>
    <w:rsid w:val="00936AA8"/>
    <w:rsid w:val="009604B1"/>
    <w:rsid w:val="009640F6"/>
    <w:rsid w:val="00974ECD"/>
    <w:rsid w:val="00986AC1"/>
    <w:rsid w:val="00997D2F"/>
    <w:rsid w:val="009A1ADE"/>
    <w:rsid w:val="009A1E92"/>
    <w:rsid w:val="009A71DA"/>
    <w:rsid w:val="009B22FE"/>
    <w:rsid w:val="009C4B93"/>
    <w:rsid w:val="009F5BAC"/>
    <w:rsid w:val="00A221F2"/>
    <w:rsid w:val="00A3203E"/>
    <w:rsid w:val="00A42DF1"/>
    <w:rsid w:val="00A4562B"/>
    <w:rsid w:val="00AA1AAF"/>
    <w:rsid w:val="00AB359B"/>
    <w:rsid w:val="00B0392D"/>
    <w:rsid w:val="00B818C2"/>
    <w:rsid w:val="00B83E34"/>
    <w:rsid w:val="00BA4897"/>
    <w:rsid w:val="00BF0F51"/>
    <w:rsid w:val="00BF74BE"/>
    <w:rsid w:val="00C11CF0"/>
    <w:rsid w:val="00C66C85"/>
    <w:rsid w:val="00C7482D"/>
    <w:rsid w:val="00CA49B2"/>
    <w:rsid w:val="00CB6854"/>
    <w:rsid w:val="00CB737F"/>
    <w:rsid w:val="00CB7F0F"/>
    <w:rsid w:val="00CC0D4B"/>
    <w:rsid w:val="00CD4D42"/>
    <w:rsid w:val="00D17B14"/>
    <w:rsid w:val="00D22F17"/>
    <w:rsid w:val="00D451E2"/>
    <w:rsid w:val="00D85747"/>
    <w:rsid w:val="00D92F6B"/>
    <w:rsid w:val="00D96087"/>
    <w:rsid w:val="00E11587"/>
    <w:rsid w:val="00E130F6"/>
    <w:rsid w:val="00E15D8A"/>
    <w:rsid w:val="00E26625"/>
    <w:rsid w:val="00E72AF3"/>
    <w:rsid w:val="00EA4187"/>
    <w:rsid w:val="00EA6AE8"/>
    <w:rsid w:val="00EB03F0"/>
    <w:rsid w:val="00EC0D63"/>
    <w:rsid w:val="00ED69C4"/>
    <w:rsid w:val="00EF1A01"/>
    <w:rsid w:val="00EF68CD"/>
    <w:rsid w:val="00F75472"/>
    <w:rsid w:val="00F82365"/>
    <w:rsid w:val="00FC0234"/>
    <w:rsid w:val="00FD541F"/>
    <w:rsid w:val="12722AD1"/>
    <w:rsid w:val="4AF0475D"/>
    <w:rsid w:val="59F80AA2"/>
    <w:rsid w:val="5AF76A80"/>
    <w:rsid w:val="74C10A69"/>
    <w:rsid w:val="76B34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宋体"/>
      <w:kern w:val="0"/>
      <w:sz w:val="16"/>
      <w:szCs w:val="16"/>
      <w:lang w:val="en-US" w:eastAsia="zh-CN" w:bidi="ar-SA"/>
    </w:rPr>
  </w:style>
  <w:style w:type="paragraph" w:styleId="2">
    <w:name w:val="heading 1"/>
    <w:basedOn w:val="1"/>
    <w:next w:val="1"/>
    <w:link w:val="16"/>
    <w:autoRedefine/>
    <w:qFormat/>
    <w:uiPriority w:val="9"/>
    <w:pPr>
      <w:keepNext/>
      <w:keepLines/>
      <w:spacing w:before="480" w:after="80"/>
      <w:outlineLvl w:val="0"/>
    </w:pPr>
    <w:rPr>
      <w:rFonts w:asciiTheme="majorHAnsi" w:hAnsiTheme="majorHAnsi" w:eastAsiaTheme="majorEastAsia" w:cstheme="majorBidi"/>
      <w:color w:val="2F5597" w:themeColor="accent1" w:themeShade="BF"/>
      <w:kern w:val="2"/>
      <w:sz w:val="48"/>
      <w:szCs w:val="48"/>
    </w:rPr>
  </w:style>
  <w:style w:type="paragraph" w:styleId="3">
    <w:name w:val="heading 2"/>
    <w:basedOn w:val="1"/>
    <w:next w:val="1"/>
    <w:link w:val="17"/>
    <w:autoRedefine/>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kern w:val="2"/>
      <w:sz w:val="40"/>
      <w:szCs w:val="40"/>
    </w:rPr>
  </w:style>
  <w:style w:type="paragraph" w:styleId="4">
    <w:name w:val="heading 3"/>
    <w:basedOn w:val="1"/>
    <w:next w:val="1"/>
    <w:link w:val="18"/>
    <w:autoRedefine/>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kern w:val="2"/>
      <w:sz w:val="32"/>
      <w:szCs w:val="32"/>
    </w:rPr>
  </w:style>
  <w:style w:type="paragraph" w:styleId="5">
    <w:name w:val="heading 4"/>
    <w:basedOn w:val="1"/>
    <w:next w:val="1"/>
    <w:link w:val="19"/>
    <w:autoRedefine/>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kern w:val="2"/>
      <w:sz w:val="28"/>
      <w:szCs w:val="28"/>
    </w:rPr>
  </w:style>
  <w:style w:type="paragraph" w:styleId="6">
    <w:name w:val="heading 5"/>
    <w:basedOn w:val="1"/>
    <w:next w:val="1"/>
    <w:link w:val="20"/>
    <w:autoRedefine/>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kern w:val="2"/>
      <w:sz w:val="24"/>
      <w:szCs w:val="24"/>
    </w:rPr>
  </w:style>
  <w:style w:type="paragraph" w:styleId="7">
    <w:name w:val="heading 6"/>
    <w:basedOn w:val="1"/>
    <w:next w:val="1"/>
    <w:link w:val="21"/>
    <w:autoRedefine/>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kern w:val="2"/>
      <w:sz w:val="24"/>
      <w:szCs w:val="24"/>
    </w:rPr>
  </w:style>
  <w:style w:type="paragraph" w:styleId="8">
    <w:name w:val="heading 7"/>
    <w:basedOn w:val="1"/>
    <w:next w:val="1"/>
    <w:link w:val="22"/>
    <w:autoRedefine/>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kern w:val="2"/>
      <w:sz w:val="24"/>
      <w:szCs w:val="24"/>
      <w14:textFill>
        <w14:solidFill>
          <w14:schemeClr w14:val="tx1">
            <w14:lumMod w14:val="65000"/>
            <w14:lumOff w14:val="35000"/>
          </w14:schemeClr>
        </w14:solidFill>
      </w14:textFill>
    </w:rPr>
  </w:style>
  <w:style w:type="paragraph" w:styleId="9">
    <w:name w:val="heading 8"/>
    <w:basedOn w:val="1"/>
    <w:next w:val="1"/>
    <w:link w:val="23"/>
    <w:autoRedefine/>
    <w:semiHidden/>
    <w:unhideWhenUsed/>
    <w:qFormat/>
    <w:uiPriority w:val="9"/>
    <w:pPr>
      <w:keepNext/>
      <w:keepLines/>
      <w:outlineLvl w:val="7"/>
    </w:pPr>
    <w:rPr>
      <w:rFonts w:asciiTheme="minorHAnsi" w:hAnsiTheme="minorHAnsi" w:eastAsiaTheme="minorEastAsia" w:cstheme="majorBidi"/>
      <w:color w:val="595959" w:themeColor="text1" w:themeTint="A6"/>
      <w:kern w:val="2"/>
      <w:sz w:val="24"/>
      <w:szCs w:val="24"/>
      <w14:textFill>
        <w14:solidFill>
          <w14:schemeClr w14:val="tx1">
            <w14:lumMod w14:val="65000"/>
            <w14:lumOff w14:val="35000"/>
          </w14:schemeClr>
        </w14:solidFill>
      </w14:textFill>
    </w:rPr>
  </w:style>
  <w:style w:type="paragraph" w:styleId="10">
    <w:name w:val="heading 9"/>
    <w:basedOn w:val="1"/>
    <w:next w:val="1"/>
    <w:link w:val="24"/>
    <w:autoRedefine/>
    <w:semiHidden/>
    <w:unhideWhenUsed/>
    <w:qFormat/>
    <w:uiPriority w:val="9"/>
    <w:pPr>
      <w:keepNext/>
      <w:keepLines/>
      <w:outlineLvl w:val="8"/>
    </w:pPr>
    <w:rPr>
      <w:rFonts w:asciiTheme="minorHAnsi" w:hAnsiTheme="minorHAnsi" w:eastAsiaTheme="majorEastAsia" w:cstheme="majorBidi"/>
      <w:color w:val="595959" w:themeColor="text1" w:themeTint="A6"/>
      <w:kern w:val="2"/>
      <w:sz w:val="24"/>
      <w:szCs w:val="24"/>
      <w14:textFill>
        <w14:solidFill>
          <w14:schemeClr w14:val="tx1">
            <w14:lumMod w14:val="65000"/>
            <w14:lumOff w14:val="35000"/>
          </w14:schemeClr>
        </w14:solidFill>
      </w14:textFill>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11">
    <w:name w:val="Subtitle"/>
    <w:basedOn w:val="1"/>
    <w:next w:val="1"/>
    <w:link w:val="26"/>
    <w:autoRedefine/>
    <w:qFormat/>
    <w:uiPriority w:val="11"/>
    <w:pPr>
      <w:spacing w:after="160"/>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12">
    <w:name w:val="Title"/>
    <w:basedOn w:val="1"/>
    <w:next w:val="1"/>
    <w:link w:val="25"/>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5">
    <w:name w:val="Hyperlink"/>
    <w:basedOn w:val="14"/>
    <w:autoRedefine/>
    <w:semiHidden/>
    <w:unhideWhenUsed/>
    <w:qFormat/>
    <w:uiPriority w:val="99"/>
    <w:rPr>
      <w:color w:val="0000FF"/>
      <w:u w:val="single"/>
    </w:rPr>
  </w:style>
  <w:style w:type="character" w:customStyle="1" w:styleId="16">
    <w:name w:val="标题 1 字符"/>
    <w:basedOn w:val="14"/>
    <w:link w:val="2"/>
    <w:autoRedefine/>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4"/>
    <w:link w:val="3"/>
    <w:autoRedefine/>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4"/>
    <w:link w:val="4"/>
    <w:autoRedefine/>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4"/>
    <w:link w:val="5"/>
    <w:autoRedefine/>
    <w:semiHidden/>
    <w:qFormat/>
    <w:uiPriority w:val="9"/>
    <w:rPr>
      <w:rFonts w:cstheme="majorBidi"/>
      <w:color w:val="2F5597" w:themeColor="accent1" w:themeShade="BF"/>
      <w:sz w:val="28"/>
      <w:szCs w:val="28"/>
    </w:rPr>
  </w:style>
  <w:style w:type="character" w:customStyle="1" w:styleId="20">
    <w:name w:val="标题 5 字符"/>
    <w:basedOn w:val="14"/>
    <w:link w:val="6"/>
    <w:autoRedefine/>
    <w:semiHidden/>
    <w:qFormat/>
    <w:uiPriority w:val="9"/>
    <w:rPr>
      <w:rFonts w:cstheme="majorBidi"/>
      <w:color w:val="2F5597" w:themeColor="accent1" w:themeShade="BF"/>
    </w:rPr>
  </w:style>
  <w:style w:type="character" w:customStyle="1" w:styleId="21">
    <w:name w:val="标题 6 字符"/>
    <w:basedOn w:val="14"/>
    <w:link w:val="7"/>
    <w:autoRedefine/>
    <w:semiHidden/>
    <w:qFormat/>
    <w:uiPriority w:val="9"/>
    <w:rPr>
      <w:rFonts w:cstheme="majorBidi"/>
      <w:b/>
      <w:bCs/>
      <w:color w:val="2F5597" w:themeColor="accent1" w:themeShade="BF"/>
    </w:rPr>
  </w:style>
  <w:style w:type="character" w:customStyle="1" w:styleId="22">
    <w:name w:val="标题 7 字符"/>
    <w:basedOn w:val="14"/>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autoRedefine/>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autoRedefine/>
    <w:qFormat/>
    <w:uiPriority w:val="29"/>
    <w:pPr>
      <w:spacing w:before="160" w:after="160"/>
      <w:jc w:val="center"/>
    </w:pPr>
    <w:rPr>
      <w:rFonts w:asciiTheme="minorHAnsi" w:hAnsiTheme="minorHAnsi" w:eastAsiaTheme="minorEastAsia" w:cstheme="minorBidi"/>
      <w:i/>
      <w:iCs/>
      <w:color w:val="404040" w:themeColor="text1" w:themeTint="BF"/>
      <w:kern w:val="2"/>
      <w:sz w:val="24"/>
      <w:szCs w:val="24"/>
      <w14:textFill>
        <w14:solidFill>
          <w14:schemeClr w14:val="tx1">
            <w14:lumMod w14:val="75000"/>
            <w14:lumOff w14:val="25000"/>
          </w14:schemeClr>
        </w14:solidFill>
      </w14:textFill>
    </w:rPr>
  </w:style>
  <w:style w:type="character" w:customStyle="1" w:styleId="28">
    <w:name w:val="引用 字符"/>
    <w:basedOn w:val="14"/>
    <w:link w:val="27"/>
    <w:autoRedefine/>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autoRedefine/>
    <w:qFormat/>
    <w:uiPriority w:val="34"/>
    <w:pPr>
      <w:ind w:left="720"/>
      <w:contextualSpacing/>
    </w:pPr>
    <w:rPr>
      <w:rFonts w:asciiTheme="minorHAnsi" w:hAnsiTheme="minorHAnsi" w:eastAsiaTheme="minorEastAsia" w:cstheme="minorBidi"/>
      <w:kern w:val="2"/>
      <w:sz w:val="24"/>
      <w:szCs w:val="24"/>
    </w:rPr>
  </w:style>
  <w:style w:type="character" w:customStyle="1" w:styleId="30">
    <w:name w:val="Intense Emphasis"/>
    <w:basedOn w:val="14"/>
    <w:autoRedefine/>
    <w:qFormat/>
    <w:uiPriority w:val="21"/>
    <w:rPr>
      <w:i/>
      <w:iCs/>
      <w:color w:val="2F5597" w:themeColor="accent1" w:themeShade="BF"/>
    </w:rPr>
  </w:style>
  <w:style w:type="paragraph" w:styleId="31">
    <w:name w:val="Intense Quote"/>
    <w:basedOn w:val="1"/>
    <w:next w:val="1"/>
    <w:link w:val="32"/>
    <w:autoRedefine/>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kern w:val="2"/>
      <w:sz w:val="24"/>
      <w:szCs w:val="24"/>
    </w:rPr>
  </w:style>
  <w:style w:type="character" w:customStyle="1" w:styleId="32">
    <w:name w:val="明显引用 字符"/>
    <w:basedOn w:val="14"/>
    <w:link w:val="31"/>
    <w:autoRedefine/>
    <w:qFormat/>
    <w:uiPriority w:val="30"/>
    <w:rPr>
      <w:i/>
      <w:iCs/>
      <w:color w:val="2F5597" w:themeColor="accent1" w:themeShade="BF"/>
    </w:rPr>
  </w:style>
  <w:style w:type="character" w:customStyle="1" w:styleId="33">
    <w:name w:val="Intense Reference"/>
    <w:basedOn w:val="14"/>
    <w:autoRedefine/>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230</Words>
  <Characters>1317</Characters>
  <Lines>10</Lines>
  <Paragraphs>3</Paragraphs>
  <TotalTime>0</TotalTime>
  <ScaleCrop>false</ScaleCrop>
  <LinksUpToDate>false</LinksUpToDate>
  <CharactersWithSpaces>1544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2024-02-22T02:01:00Z</dcterms:created>
  <dc:creator>g</dc:creator>
  <cp:lastModifiedBy>Lenovo</cp:lastModifiedBy>
  <dcterms:modified xsi:type="dcterms:W3CDTF">2024-03-11T00:59:00Z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32F505576E6C4153B2378B0424BEB99D_12</vt:lpwstr>
  </property>
</Properties>
</file>