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DA04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outlineLvl w:val="2"/>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eastAsia="zh-CN"/>
        </w:rPr>
        <w:t>福州大学附属省立医院</w:t>
      </w:r>
    </w:p>
    <w:p w14:paraId="440CE03C">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outlineLvl w:val="2"/>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eastAsia="zh-CN"/>
        </w:rPr>
        <w:t>院内采购项目</w:t>
      </w:r>
    </w:p>
    <w:p w14:paraId="20229024">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outlineLvl w:val="2"/>
        <w:rPr>
          <w:rFonts w:hint="eastAsia" w:ascii="宋体" w:hAnsi="宋体" w:eastAsia="宋体" w:cs="宋体"/>
          <w:b/>
          <w:color w:val="auto"/>
          <w:sz w:val="72"/>
          <w:szCs w:val="72"/>
          <w:highlight w:val="none"/>
        </w:rPr>
      </w:pPr>
    </w:p>
    <w:p w14:paraId="1601C7F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公开招标文件</w:t>
      </w:r>
    </w:p>
    <w:p w14:paraId="0FE832B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default" w:ascii="宋体" w:hAnsi="宋体" w:eastAsia="宋体" w:cs="宋体"/>
          <w:b/>
          <w:color w:val="auto"/>
          <w:sz w:val="72"/>
          <w:szCs w:val="72"/>
          <w:highlight w:val="none"/>
          <w:lang w:val="en-US" w:eastAsia="zh-CN"/>
        </w:rPr>
      </w:pPr>
      <w:r>
        <w:rPr>
          <w:rFonts w:hint="default" w:ascii="宋体" w:hAnsi="宋体" w:eastAsia="宋体" w:cs="宋体"/>
          <w:b/>
          <w:color w:val="auto"/>
          <w:sz w:val="72"/>
          <w:szCs w:val="72"/>
          <w:highlight w:val="none"/>
          <w:lang w:val="en-US" w:eastAsia="zh-CN"/>
        </w:rPr>
        <w:t>（预公告版）</w:t>
      </w:r>
    </w:p>
    <w:p w14:paraId="4DDFB84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highlight w:val="none"/>
        </w:rPr>
      </w:pPr>
    </w:p>
    <w:p w14:paraId="12110DA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highlight w:val="none"/>
        </w:rPr>
      </w:pPr>
    </w:p>
    <w:p w14:paraId="07632A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u w:val="none"/>
          <w:lang w:eastAsia="zh-CN"/>
        </w:rPr>
      </w:pPr>
      <w:r>
        <w:rPr>
          <w:rFonts w:hint="eastAsia" w:ascii="宋体" w:hAnsi="宋体" w:eastAsia="宋体" w:cs="宋体"/>
          <w:b/>
          <w:color w:val="auto"/>
          <w:sz w:val="36"/>
          <w:szCs w:val="36"/>
          <w:highlight w:val="none"/>
          <w:u w:val="none"/>
        </w:rPr>
        <w:t>项目名称：</w:t>
      </w:r>
      <w:r>
        <w:rPr>
          <w:rFonts w:hint="eastAsia" w:ascii="宋体" w:hAnsi="宋体" w:eastAsia="宋体" w:cs="宋体"/>
          <w:b/>
          <w:color w:val="auto"/>
          <w:sz w:val="36"/>
          <w:szCs w:val="36"/>
          <w:highlight w:val="none"/>
          <w:u w:val="none"/>
          <w:lang w:eastAsia="zh-CN"/>
        </w:rPr>
        <w:t>福州大学附属省立医院东街、金山院区自助售卖机投放经营权出租项目</w:t>
      </w:r>
    </w:p>
    <w:p w14:paraId="4C2AB7B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default" w:ascii="宋体" w:hAnsi="宋体" w:eastAsia="宋体" w:cs="宋体"/>
          <w:color w:val="auto"/>
          <w:sz w:val="36"/>
          <w:szCs w:val="36"/>
          <w:highlight w:val="none"/>
          <w:u w:val="none"/>
          <w:lang w:val="en-US" w:eastAsia="zh-CN"/>
        </w:rPr>
      </w:pPr>
      <w:r>
        <w:rPr>
          <w:rFonts w:hint="eastAsia" w:ascii="宋体" w:hAnsi="宋体" w:eastAsia="宋体" w:cs="宋体"/>
          <w:b/>
          <w:color w:val="auto"/>
          <w:sz w:val="36"/>
          <w:szCs w:val="36"/>
          <w:highlight w:val="none"/>
          <w:u w:val="none"/>
        </w:rPr>
        <w:t>项目编号：</w:t>
      </w:r>
      <w:r>
        <w:rPr>
          <w:rFonts w:hint="eastAsia" w:ascii="宋体" w:hAnsi="宋体" w:eastAsia="宋体" w:cs="宋体"/>
          <w:b/>
          <w:color w:val="auto"/>
          <w:sz w:val="36"/>
          <w:szCs w:val="36"/>
          <w:highlight w:val="none"/>
          <w:u w:val="none"/>
          <w:lang w:eastAsia="zh-CN"/>
        </w:rPr>
        <w:t>ZC2025-013</w:t>
      </w:r>
    </w:p>
    <w:p w14:paraId="456A3E1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highlight w:val="none"/>
          <w:u w:val="none"/>
        </w:rPr>
      </w:pPr>
    </w:p>
    <w:p w14:paraId="4F18F47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highlight w:val="none"/>
          <w:u w:val="none"/>
        </w:rPr>
      </w:pPr>
    </w:p>
    <w:p w14:paraId="1AD350D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highlight w:val="none"/>
          <w:u w:val="none"/>
        </w:rPr>
      </w:pPr>
    </w:p>
    <w:p w14:paraId="5A52C4E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highlight w:val="none"/>
          <w:u w:val="none"/>
        </w:rPr>
      </w:pPr>
    </w:p>
    <w:p w14:paraId="26F470B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2"/>
          <w:szCs w:val="32"/>
          <w:highlight w:val="none"/>
          <w:u w:val="none"/>
          <w:lang w:eastAsia="zh-CN"/>
        </w:rPr>
      </w:pPr>
      <w:r>
        <w:rPr>
          <w:rFonts w:hint="eastAsia" w:ascii="宋体" w:hAnsi="宋体" w:eastAsia="宋体" w:cs="宋体"/>
          <w:b/>
          <w:color w:val="auto"/>
          <w:sz w:val="32"/>
          <w:szCs w:val="32"/>
          <w:highlight w:val="none"/>
          <w:u w:val="none"/>
        </w:rPr>
        <w:t>采购人：</w:t>
      </w:r>
      <w:r>
        <w:rPr>
          <w:rFonts w:hint="eastAsia" w:ascii="宋体" w:hAnsi="宋体" w:eastAsia="宋体" w:cs="宋体"/>
          <w:b/>
          <w:color w:val="auto"/>
          <w:sz w:val="32"/>
          <w:szCs w:val="32"/>
          <w:highlight w:val="none"/>
          <w:u w:val="none"/>
          <w:lang w:eastAsia="zh-CN"/>
        </w:rPr>
        <w:t>福州大学附属省立医院</w:t>
      </w:r>
    </w:p>
    <w:p w14:paraId="388AFC5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代理机构：福建立勤项目管理有限公司</w:t>
      </w:r>
    </w:p>
    <w:p w14:paraId="250E091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highlight w:val="none"/>
        </w:rPr>
      </w:pPr>
    </w:p>
    <w:p w14:paraId="2986CCD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2"/>
          <w:szCs w:val="32"/>
          <w:highlight w:val="none"/>
          <w:u w:val="none"/>
        </w:rPr>
      </w:pPr>
      <w:r>
        <w:rPr>
          <w:rFonts w:hint="eastAsia" w:ascii="宋体" w:hAnsi="宋体" w:eastAsia="宋体" w:cs="宋体"/>
          <w:b/>
          <w:color w:val="auto"/>
          <w:sz w:val="32"/>
          <w:szCs w:val="32"/>
          <w:highlight w:val="none"/>
          <w:u w:val="none"/>
        </w:rPr>
        <w:t>编制时间：</w:t>
      </w:r>
      <w:r>
        <w:rPr>
          <w:rFonts w:hint="eastAsia" w:ascii="宋体" w:hAnsi="宋体" w:eastAsia="宋体" w:cs="宋体"/>
          <w:b/>
          <w:color w:val="auto"/>
          <w:sz w:val="32"/>
          <w:szCs w:val="32"/>
          <w:highlight w:val="none"/>
          <w:u w:val="none"/>
          <w:lang w:eastAsia="zh-CN"/>
        </w:rPr>
        <w:t>2025</w:t>
      </w:r>
      <w:r>
        <w:rPr>
          <w:rFonts w:hint="eastAsia" w:ascii="宋体" w:hAnsi="宋体" w:eastAsia="宋体" w:cs="宋体"/>
          <w:b/>
          <w:color w:val="auto"/>
          <w:sz w:val="32"/>
          <w:szCs w:val="32"/>
          <w:highlight w:val="none"/>
          <w:u w:val="none"/>
        </w:rPr>
        <w:t>年</w:t>
      </w:r>
      <w:r>
        <w:rPr>
          <w:rFonts w:hint="eastAsia" w:ascii="宋体" w:hAnsi="宋体" w:eastAsia="宋体" w:cs="宋体"/>
          <w:b/>
          <w:color w:val="auto"/>
          <w:sz w:val="32"/>
          <w:szCs w:val="32"/>
          <w:highlight w:val="none"/>
          <w:u w:val="none"/>
          <w:lang w:val="en-US" w:eastAsia="zh-CN"/>
        </w:rPr>
        <w:t>6</w:t>
      </w:r>
      <w:r>
        <w:rPr>
          <w:rFonts w:hint="eastAsia" w:ascii="宋体" w:hAnsi="宋体" w:eastAsia="宋体" w:cs="宋体"/>
          <w:b/>
          <w:color w:val="auto"/>
          <w:sz w:val="32"/>
          <w:szCs w:val="32"/>
          <w:highlight w:val="none"/>
          <w:u w:val="none"/>
        </w:rPr>
        <w:t>月</w:t>
      </w:r>
    </w:p>
    <w:p w14:paraId="19727EF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p>
    <w:p w14:paraId="30A14BB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录</w:t>
      </w:r>
    </w:p>
    <w:p w14:paraId="5191D999">
      <w:pPr>
        <w:pStyle w:val="19"/>
        <w:tabs>
          <w:tab w:val="right" w:leader="dot" w:pos="8504"/>
        </w:tabs>
        <w:rPr>
          <w:rFonts w:hint="eastAsia" w:ascii="宋体" w:hAnsi="宋体" w:eastAsia="宋体" w:cs="宋体"/>
          <w:b/>
          <w:color w:val="auto"/>
          <w:sz w:val="24"/>
          <w:szCs w:val="24"/>
          <w:highlight w:val="none"/>
        </w:rPr>
      </w:pPr>
    </w:p>
    <w:p w14:paraId="66D01135">
      <w:pPr>
        <w:pStyle w:val="19"/>
        <w:tabs>
          <w:tab w:val="right" w:leader="dot" w:pos="8504"/>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_Toc21595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_Toc21595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C4547EE">
      <w:pPr>
        <w:pStyle w:val="19"/>
        <w:tabs>
          <w:tab w:val="right" w:leader="dot" w:pos="8504"/>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_Toc692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_Toc692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C4C960">
      <w:pPr>
        <w:pStyle w:val="19"/>
        <w:tabs>
          <w:tab w:val="right" w:leader="dot" w:pos="8504"/>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_Toc14091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_Toc14091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7A7643A">
      <w:pPr>
        <w:pStyle w:val="19"/>
        <w:tabs>
          <w:tab w:val="right" w:leader="dot" w:pos="8504"/>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_Toc2131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资格审查与评标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C870BED">
      <w:pPr>
        <w:pStyle w:val="19"/>
        <w:tabs>
          <w:tab w:val="right" w:leader="dot" w:pos="8504"/>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_Toc1086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招标内容及要求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E0BAA90">
      <w:pPr>
        <w:pStyle w:val="19"/>
        <w:tabs>
          <w:tab w:val="right" w:leader="dot" w:pos="8504"/>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_Toc20773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采购合同</w:t>
      </w:r>
      <w:r>
        <w:rPr>
          <w:rFonts w:hint="eastAsia" w:ascii="宋体" w:hAnsi="宋体" w:eastAsia="宋体" w:cs="宋体"/>
          <w:color w:val="auto"/>
          <w:sz w:val="28"/>
          <w:szCs w:val="28"/>
          <w:highlight w:val="none"/>
        </w:rPr>
        <w:tab/>
      </w:r>
      <w:bookmarkStart w:id="118" w:name="_GoBack"/>
      <w:bookmarkEnd w:id="118"/>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_Toc20773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AF3F488">
      <w:pPr>
        <w:pStyle w:val="19"/>
        <w:tabs>
          <w:tab w:val="right" w:leader="dot" w:pos="8504"/>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_Toc14509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第七章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_Toc14509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AF0EE0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8"/>
          <w:szCs w:val="28"/>
          <w:highlight w:val="none"/>
        </w:rPr>
        <w:fldChar w:fldCharType="end"/>
      </w:r>
    </w:p>
    <w:p w14:paraId="0EDA0969">
      <w:pPr>
        <w:pStyle w:val="18"/>
        <w:keepNext w:val="0"/>
        <w:keepLines w:val="0"/>
        <w:pageBreakBefore w:val="0"/>
        <w:widowControl/>
        <w:kinsoku/>
        <w:overflowPunct/>
        <w:topLinePunct w:val="0"/>
        <w:autoSpaceDE/>
        <w:autoSpaceDN/>
        <w:bidi w:val="0"/>
        <w:spacing w:before="0" w:beforeAutospacing="0" w:after="0" w:afterAutospacing="0" w:line="360" w:lineRule="auto"/>
        <w:textAlignment w:val="auto"/>
        <w:rPr>
          <w:rFonts w:hint="eastAsia" w:ascii="宋体" w:hAnsi="宋体" w:eastAsia="宋体" w:cs="宋体"/>
          <w:color w:val="auto"/>
          <w:highlight w:val="none"/>
        </w:rPr>
      </w:pPr>
      <w:bookmarkStart w:id="0" w:name="_Toc3253"/>
      <w:bookmarkStart w:id="1" w:name="_Toc143177692"/>
      <w:bookmarkStart w:id="2" w:name="_Toc143178222"/>
      <w:r>
        <w:rPr>
          <w:rFonts w:hint="eastAsia" w:ascii="宋体" w:hAnsi="宋体" w:eastAsia="宋体" w:cs="宋体"/>
          <w:color w:val="auto"/>
          <w:highlight w:val="none"/>
        </w:rPr>
        <w:br w:type="page"/>
      </w:r>
    </w:p>
    <w:p w14:paraId="26887EE6">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highlight w:val="none"/>
        </w:rPr>
      </w:pPr>
      <w:bookmarkStart w:id="3" w:name="_Toc21414"/>
      <w:bookmarkStart w:id="4" w:name="_Toc21595"/>
      <w:bookmarkStart w:id="5" w:name="_Toc13971"/>
      <w:bookmarkStart w:id="6" w:name="_Toc32578"/>
      <w:bookmarkStart w:id="7" w:name="_Toc19728"/>
      <w:bookmarkStart w:id="8" w:name="_Toc3757"/>
      <w:bookmarkStart w:id="9" w:name="_Toc9887"/>
      <w:r>
        <w:rPr>
          <w:rFonts w:hint="eastAsia" w:ascii="宋体" w:hAnsi="宋体" w:eastAsia="宋体" w:cs="宋体"/>
          <w:color w:val="auto"/>
          <w:highlight w:val="none"/>
        </w:rPr>
        <w:t>第一章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投标邀请</w:t>
      </w:r>
      <w:bookmarkEnd w:id="0"/>
      <w:bookmarkEnd w:id="1"/>
      <w:bookmarkEnd w:id="2"/>
      <w:bookmarkEnd w:id="3"/>
      <w:bookmarkEnd w:id="4"/>
      <w:bookmarkEnd w:id="5"/>
      <w:bookmarkEnd w:id="6"/>
      <w:bookmarkEnd w:id="7"/>
      <w:bookmarkEnd w:id="8"/>
      <w:bookmarkEnd w:id="9"/>
    </w:p>
    <w:p w14:paraId="0C71BE86">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05647EE3">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福建立勤项目管理有限公司采用公开招标方式组织</w:t>
      </w:r>
      <w:r>
        <w:rPr>
          <w:rFonts w:hint="eastAsia" w:ascii="宋体" w:hAnsi="宋体" w:eastAsia="宋体" w:cs="宋体"/>
          <w:color w:val="auto"/>
          <w:sz w:val="24"/>
          <w:szCs w:val="24"/>
          <w:highlight w:val="none"/>
          <w:u w:val="single"/>
          <w:lang w:eastAsia="zh-CN"/>
        </w:rPr>
        <w:t>福州大学附属省立医院东街、金山院区自助售卖机投放经营权出租项目</w:t>
      </w:r>
      <w:r>
        <w:rPr>
          <w:rFonts w:hint="eastAsia" w:ascii="宋体" w:hAnsi="宋体" w:eastAsia="宋体" w:cs="宋体"/>
          <w:color w:val="auto"/>
          <w:sz w:val="24"/>
          <w:szCs w:val="24"/>
          <w:highlight w:val="none"/>
        </w:rPr>
        <w:t>（以下简称：“本项目”）的采购活动，现邀请供应商参加投标。</w:t>
      </w:r>
    </w:p>
    <w:p w14:paraId="6FCB6F79">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项目名称：</w:t>
      </w:r>
      <w:r>
        <w:rPr>
          <w:rFonts w:hint="eastAsia" w:ascii="宋体" w:hAnsi="宋体" w:eastAsia="宋体" w:cs="宋体"/>
          <w:b w:val="0"/>
          <w:bCs/>
          <w:color w:val="auto"/>
          <w:sz w:val="24"/>
          <w:szCs w:val="24"/>
          <w:highlight w:val="none"/>
          <w:u w:val="none"/>
          <w:lang w:eastAsia="zh-CN"/>
        </w:rPr>
        <w:t>福州大学附属省立医院东街、金山院区自助售卖机投放经营权出租项目</w:t>
      </w:r>
      <w:r>
        <w:rPr>
          <w:rFonts w:hint="eastAsia" w:ascii="宋体" w:hAnsi="宋体" w:eastAsia="宋体" w:cs="宋体"/>
          <w:b w:val="0"/>
          <w:bCs/>
          <w:color w:val="auto"/>
          <w:sz w:val="24"/>
          <w:szCs w:val="24"/>
          <w:highlight w:val="none"/>
          <w:u w:val="none"/>
        </w:rPr>
        <w:t>。</w:t>
      </w:r>
    </w:p>
    <w:p w14:paraId="5B0184F1">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项目编号：</w:t>
      </w:r>
      <w:r>
        <w:rPr>
          <w:rFonts w:hint="eastAsia" w:ascii="宋体" w:hAnsi="宋体" w:eastAsia="宋体" w:cs="宋体"/>
          <w:b w:val="0"/>
          <w:bCs/>
          <w:color w:val="auto"/>
          <w:sz w:val="24"/>
          <w:szCs w:val="24"/>
          <w:highlight w:val="none"/>
          <w:u w:val="none"/>
          <w:lang w:eastAsia="zh-CN"/>
        </w:rPr>
        <w:t>ZC2025-013</w:t>
      </w:r>
      <w:r>
        <w:rPr>
          <w:rFonts w:hint="eastAsia" w:ascii="宋体" w:hAnsi="宋体" w:eastAsia="宋体" w:cs="宋体"/>
          <w:b w:val="0"/>
          <w:bCs/>
          <w:color w:val="auto"/>
          <w:sz w:val="24"/>
          <w:szCs w:val="24"/>
          <w:highlight w:val="none"/>
          <w:u w:val="none"/>
        </w:rPr>
        <w:t>。</w:t>
      </w:r>
    </w:p>
    <w:p w14:paraId="75F099DE">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预算金额、</w:t>
      </w:r>
      <w:r>
        <w:rPr>
          <w:rFonts w:hint="eastAsia" w:ascii="宋体" w:hAnsi="宋体" w:eastAsia="宋体" w:cs="宋体"/>
          <w:b/>
          <w:color w:val="auto"/>
          <w:sz w:val="24"/>
          <w:szCs w:val="24"/>
          <w:highlight w:val="none"/>
          <w:lang w:eastAsia="zh-CN"/>
        </w:rPr>
        <w:t>最低</w:t>
      </w:r>
      <w:r>
        <w:rPr>
          <w:rFonts w:hint="eastAsia" w:ascii="宋体" w:hAnsi="宋体" w:eastAsia="宋体" w:cs="宋体"/>
          <w:b/>
          <w:color w:val="auto"/>
          <w:sz w:val="24"/>
          <w:szCs w:val="24"/>
          <w:highlight w:val="none"/>
        </w:rPr>
        <w:t>限价：</w:t>
      </w:r>
      <w:r>
        <w:rPr>
          <w:rFonts w:hint="eastAsia" w:ascii="宋体" w:hAnsi="宋体" w:eastAsia="宋体" w:cs="宋体"/>
          <w:b w:val="0"/>
          <w:bCs/>
          <w:color w:val="auto"/>
          <w:sz w:val="24"/>
          <w:szCs w:val="24"/>
          <w:highlight w:val="none"/>
          <w:u w:val="none"/>
        </w:rPr>
        <w:t>详见《采购标的一览表》。</w:t>
      </w:r>
    </w:p>
    <w:p w14:paraId="13D8C1E4">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招标内容及要求：</w:t>
      </w:r>
      <w:r>
        <w:rPr>
          <w:rFonts w:hint="eastAsia" w:ascii="宋体" w:hAnsi="宋体" w:eastAsia="宋体" w:cs="宋体"/>
          <w:b w:val="0"/>
          <w:bCs/>
          <w:color w:val="auto"/>
          <w:sz w:val="24"/>
          <w:szCs w:val="24"/>
          <w:highlight w:val="none"/>
          <w:u w:val="none"/>
        </w:rPr>
        <w:t>详见《采购标的一览表》及招标文件第五章。</w:t>
      </w:r>
    </w:p>
    <w:p w14:paraId="7F276168">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需要落实的</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政策</w:t>
      </w:r>
      <w:r>
        <w:rPr>
          <w:rFonts w:hint="eastAsia" w:ascii="宋体" w:hAnsi="宋体" w:eastAsia="宋体" w:cs="宋体"/>
          <w:b/>
          <w:color w:val="auto"/>
          <w:sz w:val="24"/>
          <w:szCs w:val="24"/>
          <w:highlight w:val="none"/>
          <w:lang w:eastAsia="zh-CN"/>
        </w:rPr>
        <w:t>：</w:t>
      </w:r>
    </w:p>
    <w:p w14:paraId="42A47B38">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w:t>
      </w:r>
    </w:p>
    <w:p w14:paraId="0F3B2B18">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进口产品</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本项目</w:t>
      </w:r>
      <w:r>
        <w:rPr>
          <w:rFonts w:hint="eastAsia" w:ascii="宋体" w:hAnsi="宋体" w:eastAsia="宋体" w:cs="宋体"/>
          <w:color w:val="auto"/>
          <w:sz w:val="24"/>
          <w:szCs w:val="24"/>
          <w:highlight w:val="none"/>
          <w:u w:val="none"/>
          <w:lang w:eastAsia="zh-CN"/>
        </w:rPr>
        <w:t>不</w:t>
      </w:r>
      <w:r>
        <w:rPr>
          <w:rFonts w:hint="eastAsia" w:ascii="宋体" w:hAnsi="宋体" w:eastAsia="宋体" w:cs="宋体"/>
          <w:color w:val="auto"/>
          <w:sz w:val="24"/>
          <w:szCs w:val="24"/>
          <w:highlight w:val="none"/>
          <w:u w:val="none"/>
          <w:lang w:val="en-US" w:eastAsia="zh-CN"/>
        </w:rPr>
        <w:t>适用</w:t>
      </w:r>
      <w:r>
        <w:rPr>
          <w:rFonts w:hint="eastAsia" w:ascii="宋体" w:hAnsi="宋体" w:eastAsia="宋体" w:cs="宋体"/>
          <w:color w:val="auto"/>
          <w:sz w:val="24"/>
          <w:szCs w:val="24"/>
          <w:highlight w:val="none"/>
          <w:u w:val="none"/>
        </w:rPr>
        <w:t>。</w:t>
      </w:r>
    </w:p>
    <w:p w14:paraId="787E4567">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节能产品：</w:t>
      </w:r>
      <w:r>
        <w:rPr>
          <w:rFonts w:hint="eastAsia" w:ascii="宋体" w:hAnsi="宋体" w:eastAsia="宋体" w:cs="宋体"/>
          <w:color w:val="auto"/>
          <w:sz w:val="24"/>
          <w:szCs w:val="24"/>
          <w:highlight w:val="none"/>
          <w:u w:val="none"/>
          <w:lang w:val="en-US" w:eastAsia="zh-CN"/>
        </w:rPr>
        <w:t>本项目</w:t>
      </w:r>
      <w:r>
        <w:rPr>
          <w:rFonts w:hint="eastAsia" w:ascii="宋体" w:hAnsi="宋体" w:eastAsia="宋体" w:cs="宋体"/>
          <w:color w:val="auto"/>
          <w:sz w:val="24"/>
          <w:szCs w:val="24"/>
          <w:highlight w:val="none"/>
          <w:u w:val="none"/>
          <w:lang w:eastAsia="zh-CN"/>
        </w:rPr>
        <w:t>不</w:t>
      </w:r>
      <w:r>
        <w:rPr>
          <w:rFonts w:hint="eastAsia" w:ascii="宋体" w:hAnsi="宋体" w:eastAsia="宋体" w:cs="宋体"/>
          <w:color w:val="auto"/>
          <w:sz w:val="24"/>
          <w:szCs w:val="24"/>
          <w:highlight w:val="none"/>
          <w:u w:val="none"/>
          <w:lang w:val="en-US" w:eastAsia="zh-CN"/>
        </w:rPr>
        <w:t>适用</w:t>
      </w:r>
      <w:r>
        <w:rPr>
          <w:rFonts w:hint="eastAsia" w:ascii="宋体" w:hAnsi="宋体" w:eastAsia="宋体" w:cs="宋体"/>
          <w:color w:val="auto"/>
          <w:sz w:val="24"/>
          <w:szCs w:val="24"/>
          <w:highlight w:val="none"/>
          <w:u w:val="none"/>
        </w:rPr>
        <w:t>。</w:t>
      </w:r>
    </w:p>
    <w:p w14:paraId="6C118513">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环境标志产品：</w:t>
      </w:r>
      <w:r>
        <w:rPr>
          <w:rFonts w:hint="eastAsia" w:ascii="宋体" w:hAnsi="宋体" w:eastAsia="宋体" w:cs="宋体"/>
          <w:color w:val="auto"/>
          <w:sz w:val="24"/>
          <w:szCs w:val="24"/>
          <w:highlight w:val="none"/>
          <w:u w:val="none"/>
          <w:lang w:val="en-US" w:eastAsia="zh-CN"/>
        </w:rPr>
        <w:t>本项目</w:t>
      </w:r>
      <w:r>
        <w:rPr>
          <w:rFonts w:hint="eastAsia" w:ascii="宋体" w:hAnsi="宋体" w:eastAsia="宋体" w:cs="宋体"/>
          <w:color w:val="auto"/>
          <w:sz w:val="24"/>
          <w:szCs w:val="24"/>
          <w:highlight w:val="none"/>
          <w:u w:val="none"/>
          <w:lang w:eastAsia="zh-CN"/>
        </w:rPr>
        <w:t>不</w:t>
      </w:r>
      <w:r>
        <w:rPr>
          <w:rFonts w:hint="eastAsia" w:ascii="宋体" w:hAnsi="宋体" w:eastAsia="宋体" w:cs="宋体"/>
          <w:color w:val="auto"/>
          <w:sz w:val="24"/>
          <w:szCs w:val="24"/>
          <w:highlight w:val="none"/>
          <w:u w:val="none"/>
          <w:lang w:val="en-US" w:eastAsia="zh-CN"/>
        </w:rPr>
        <w:t>适用</w:t>
      </w:r>
      <w:r>
        <w:rPr>
          <w:rFonts w:hint="eastAsia" w:ascii="宋体" w:hAnsi="宋体" w:eastAsia="宋体" w:cs="宋体"/>
          <w:color w:val="auto"/>
          <w:sz w:val="24"/>
          <w:szCs w:val="24"/>
          <w:highlight w:val="none"/>
          <w:u w:val="none"/>
        </w:rPr>
        <w:t>。</w:t>
      </w:r>
    </w:p>
    <w:p w14:paraId="25BFD5BF">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促进中小企业发展的相关政策：</w:t>
      </w:r>
      <w:r>
        <w:rPr>
          <w:rFonts w:ascii="宋体" w:hAnsi="宋体" w:eastAsia="宋体" w:cs="宋体"/>
          <w:color w:val="auto"/>
          <w:sz w:val="24"/>
          <w:szCs w:val="24"/>
          <w:highlight w:val="none"/>
          <w:lang w:eastAsia="zh-CN"/>
        </w:rPr>
        <w:t>专门面向中小企业</w:t>
      </w:r>
      <w:r>
        <w:rPr>
          <w:rFonts w:hint="eastAsia" w:ascii="宋体" w:hAnsi="宋体" w:eastAsia="宋体" w:cs="宋体"/>
          <w:color w:val="auto"/>
          <w:sz w:val="24"/>
          <w:szCs w:val="24"/>
          <w:highlight w:val="none"/>
          <w:u w:val="none"/>
        </w:rPr>
        <w:t>。</w:t>
      </w:r>
    </w:p>
    <w:p w14:paraId="441B514E">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bCs/>
          <w:color w:val="auto"/>
          <w:sz w:val="24"/>
          <w:szCs w:val="24"/>
          <w:highlight w:val="none"/>
          <w:u w:val="none"/>
          <w:shd w:val="clear" w:color="auto" w:fill="auto"/>
          <w:lang w:eastAsia="zh-CN"/>
        </w:rPr>
      </w:pPr>
      <w:r>
        <w:rPr>
          <w:rFonts w:hint="eastAsia" w:ascii="宋体" w:hAnsi="宋体" w:eastAsia="宋体" w:cs="宋体"/>
          <w:b/>
          <w:bCs/>
          <w:color w:val="auto"/>
          <w:sz w:val="24"/>
          <w:szCs w:val="24"/>
          <w:highlight w:val="none"/>
          <w:u w:val="none"/>
          <w:shd w:val="clear" w:color="auto" w:fill="auto"/>
          <w:lang w:eastAsia="zh-CN"/>
        </w:rPr>
        <w:t>（</w:t>
      </w:r>
      <w:r>
        <w:rPr>
          <w:rFonts w:hint="eastAsia" w:ascii="宋体" w:hAnsi="宋体" w:eastAsia="宋体" w:cs="宋体"/>
          <w:b/>
          <w:bCs/>
          <w:color w:val="auto"/>
          <w:sz w:val="24"/>
          <w:szCs w:val="24"/>
          <w:highlight w:val="none"/>
          <w:u w:val="none"/>
          <w:shd w:val="clear" w:color="auto" w:fill="auto"/>
          <w:lang w:val="en-US" w:eastAsia="zh-CN"/>
        </w:rPr>
        <w:t>5</w:t>
      </w:r>
      <w:r>
        <w:rPr>
          <w:rFonts w:hint="eastAsia" w:ascii="宋体" w:hAnsi="宋体" w:eastAsia="宋体" w:cs="宋体"/>
          <w:b/>
          <w:bCs/>
          <w:color w:val="auto"/>
          <w:sz w:val="24"/>
          <w:szCs w:val="24"/>
          <w:highlight w:val="none"/>
          <w:u w:val="none"/>
          <w:shd w:val="clear" w:color="auto" w:fill="auto"/>
          <w:lang w:eastAsia="zh-CN"/>
        </w:rPr>
        <w:t>）本项目为非政府采购项目。</w:t>
      </w:r>
    </w:p>
    <w:p w14:paraId="01AA792A">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投标人的资格要求</w:t>
      </w:r>
      <w:r>
        <w:rPr>
          <w:rFonts w:hint="eastAsia" w:ascii="宋体" w:hAnsi="宋体" w:eastAsia="宋体" w:cs="宋体"/>
          <w:color w:val="auto"/>
          <w:sz w:val="24"/>
          <w:szCs w:val="24"/>
          <w:highlight w:val="none"/>
        </w:rPr>
        <w:t>：</w:t>
      </w:r>
    </w:p>
    <w:p w14:paraId="2CA74251">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6.1法定条件：符合政府采购法第二十二条第一款规定的条件。</w:t>
      </w:r>
    </w:p>
    <w:p w14:paraId="2658BAD4">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6.2特定条件：</w:t>
      </w:r>
    </w:p>
    <w:p w14:paraId="2F476A6E">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22"/>
        <w:tblW w:w="848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6221"/>
      </w:tblGrid>
      <w:tr w14:paraId="190E4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6" w:hRule="atLeast"/>
          <w:jc w:val="center"/>
        </w:trPr>
        <w:tc>
          <w:tcPr>
            <w:tcW w:w="2268" w:type="dxa"/>
          </w:tcPr>
          <w:p w14:paraId="63FA630E">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6221" w:type="dxa"/>
          </w:tcPr>
          <w:p w14:paraId="3AA3558A">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373DC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75" w:hRule="atLeast"/>
          <w:jc w:val="center"/>
        </w:trPr>
        <w:tc>
          <w:tcPr>
            <w:tcW w:w="2268" w:type="dxa"/>
            <w:vAlign w:val="center"/>
          </w:tcPr>
          <w:p w14:paraId="35460D12">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廉洁承诺函</w:t>
            </w:r>
          </w:p>
        </w:tc>
        <w:tc>
          <w:tcPr>
            <w:tcW w:w="6221" w:type="dxa"/>
            <w:vAlign w:val="center"/>
          </w:tcPr>
          <w:p w14:paraId="5260CC7F">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提供廉洁承诺书(详见“投标文件格式”)。</w:t>
            </w:r>
          </w:p>
        </w:tc>
      </w:tr>
      <w:tr w14:paraId="36461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shd w:val="clear" w:color="auto" w:fill="auto"/>
            <w:vAlign w:val="center"/>
          </w:tcPr>
          <w:p w14:paraId="3057AEDE">
            <w:pPr>
              <w:pStyle w:val="30"/>
              <w:adjustRightInd w:val="0"/>
              <w:snapToGrid w:val="0"/>
              <w:jc w:val="both"/>
              <w:rPr>
                <w:rFonts w:hint="eastAsia" w:ascii="宋体" w:hAnsi="宋体" w:eastAsia="宋体" w:cs="宋体"/>
                <w:color w:val="auto"/>
                <w:sz w:val="24"/>
                <w:szCs w:val="24"/>
                <w:highlight w:val="none"/>
                <w:lang w:val="en-US" w:eastAsia="zh-CN" w:bidi="ar-SA"/>
              </w:rPr>
            </w:pPr>
            <w:r>
              <w:rPr>
                <w:rFonts w:ascii="宋体" w:hAnsi="宋体" w:eastAsia="宋体" w:cs="宋体"/>
                <w:color w:val="auto"/>
                <w:sz w:val="24"/>
                <w:szCs w:val="24"/>
                <w:highlight w:val="none"/>
              </w:rPr>
              <w:t>资格承诺函</w:t>
            </w:r>
          </w:p>
        </w:tc>
        <w:tc>
          <w:tcPr>
            <w:tcW w:w="6221" w:type="dxa"/>
            <w:shd w:val="clear" w:color="auto" w:fill="auto"/>
            <w:vAlign w:val="top"/>
          </w:tcPr>
          <w:p w14:paraId="3D6DD2FA">
            <w:pPr>
              <w:pStyle w:val="30"/>
              <w:adjustRightInd w:val="0"/>
              <w:snapToGrid w:val="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①本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允许</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采用资格承诺制。采用资格承诺制的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，应当根据投标格式文件要求提供资格承诺函，无需提供政府采购法实施条例第十七条第一款规定的一般资格条件证明材料；资格承诺函不符合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文件要求的，视为未按照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的资格及资信文件，按资格审查不合格处理。②采购项目有特殊资格要求的，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还应按要求提供相应的证明材料。</w:t>
            </w:r>
          </w:p>
        </w:tc>
      </w:tr>
      <w:tr w14:paraId="374C4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vAlign w:val="top"/>
          </w:tcPr>
          <w:p w14:paraId="455A3A60">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本采购包属于专门面向中小企业采购</w:t>
            </w:r>
          </w:p>
        </w:tc>
        <w:tc>
          <w:tcPr>
            <w:tcW w:w="6221" w:type="dxa"/>
            <w:vAlign w:val="top"/>
          </w:tcPr>
          <w:p w14:paraId="3C8D2070">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本项目专门面向中小企业采购。本项目为“服务类”采购项目，采购标的对应的中小企业划分标准所属行业为“</w:t>
            </w:r>
            <w:r>
              <w:rPr>
                <w:rFonts w:hint="eastAsia" w:ascii="宋体" w:hAnsi="宋体" w:eastAsia="宋体" w:cs="宋体"/>
                <w:color w:val="auto"/>
                <w:kern w:val="20"/>
                <w:sz w:val="24"/>
                <w:szCs w:val="24"/>
                <w:highlight w:val="none"/>
                <w:lang w:val="en-US" w:eastAsia="zh-CN"/>
              </w:rPr>
              <w:t>租赁和商务服务业</w:t>
            </w:r>
            <w:r>
              <w:rPr>
                <w:rFonts w:hint="eastAsia" w:ascii="宋体" w:hAnsi="宋体" w:eastAsia="宋体" w:cs="宋体"/>
                <w:color w:val="auto"/>
                <w:sz w:val="24"/>
                <w:szCs w:val="24"/>
                <w:highlight w:val="none"/>
                <w:lang w:val="en-US" w:eastAsia="zh-CN"/>
              </w:rPr>
              <w:t>”。投标人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bl>
    <w:p w14:paraId="15801AAB">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6.3是否接受联合体投标：</w:t>
      </w:r>
    </w:p>
    <w:p w14:paraId="5A0D1387">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rPr>
        <w:t>采购包1：不接受</w:t>
      </w:r>
    </w:p>
    <w:p w14:paraId="041E6AD6">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※根据上述资格要求，投标文件中应提交的“投标人的资格及资信证明文件”详见招标文件第四章。</w:t>
      </w:r>
    </w:p>
    <w:p w14:paraId="250F8F3F">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招标文件的获取</w:t>
      </w:r>
    </w:p>
    <w:p w14:paraId="02A56BE1">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7.1招标文件获取期限：</w:t>
      </w:r>
      <w:r>
        <w:rPr>
          <w:rFonts w:hint="eastAsia" w:ascii="宋体" w:hAnsi="宋体" w:eastAsia="宋体" w:cs="宋体"/>
          <w:color w:val="auto"/>
          <w:kern w:val="2"/>
          <w:sz w:val="24"/>
          <w:szCs w:val="24"/>
          <w:highlight w:val="none"/>
          <w:u w:val="single"/>
          <w:lang w:val="en-US" w:eastAsia="zh-CN" w:bidi="ar"/>
        </w:rPr>
        <w:t>［2025年  月  日］至［2025年  月  日］</w:t>
      </w:r>
      <w:r>
        <w:rPr>
          <w:rFonts w:hint="eastAsia" w:ascii="宋体" w:hAnsi="宋体" w:eastAsia="宋体" w:cs="宋体"/>
          <w:color w:val="auto"/>
          <w:kern w:val="2"/>
          <w:sz w:val="24"/>
          <w:szCs w:val="24"/>
          <w:highlight w:val="none"/>
          <w:lang w:val="en-US" w:eastAsia="zh-CN" w:bidi="ar"/>
        </w:rPr>
        <w:t>(公休、节假日除外)，每天8:30–12:00，14:30–18:00（北京时间）。</w:t>
      </w:r>
      <w:r>
        <w:rPr>
          <w:rFonts w:hint="eastAsia" w:ascii="宋体" w:hAnsi="宋体" w:eastAsia="宋体" w:cs="宋体"/>
          <w:color w:val="auto"/>
          <w:sz w:val="24"/>
          <w:szCs w:val="24"/>
          <w:highlight w:val="none"/>
        </w:rPr>
        <w:t>若不一致，以更正公告</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为准。</w:t>
      </w:r>
    </w:p>
    <w:p w14:paraId="0F52EFF7">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7.2在招标文件获取期限内，</w:t>
      </w:r>
      <w:r>
        <w:rPr>
          <w:rFonts w:hint="eastAsia" w:ascii="宋体" w:hAnsi="宋体" w:eastAsia="宋体" w:cs="宋体"/>
          <w:b/>
          <w:bCs/>
          <w:color w:val="auto"/>
          <w:sz w:val="24"/>
          <w:szCs w:val="24"/>
          <w:highlight w:val="none"/>
        </w:rPr>
        <w:t>潜在</w:t>
      </w:r>
      <w:r>
        <w:rPr>
          <w:rFonts w:hint="eastAsia" w:ascii="宋体" w:hAnsi="宋体" w:eastAsia="宋体" w:cs="宋体"/>
          <w:b/>
          <w:color w:val="auto"/>
          <w:sz w:val="24"/>
          <w:szCs w:val="24"/>
          <w:highlight w:val="none"/>
        </w:rPr>
        <w:t>供应商应通过福建立勤项目管理有限公司规定的方式获取招标文件</w:t>
      </w:r>
      <w:r>
        <w:rPr>
          <w:rFonts w:hint="eastAsia" w:ascii="宋体" w:hAnsi="宋体" w:eastAsia="宋体" w:cs="宋体"/>
          <w:color w:val="auto"/>
          <w:sz w:val="24"/>
          <w:szCs w:val="24"/>
          <w:highlight w:val="none"/>
        </w:rPr>
        <w:t>【获取招标文件方式：（1）现场办理的，可直接至代理机构办理书面登记手续。（2）采用邮件方式办理的，在福建立勤项目管理有限公司官网“办事指南”《供应商获取采购文件注意事项（含登记表下载）》（http://www.fjlqzb.com/newshow.aspx?NewsID=3）下载《获取采购文件登记表》，并将填写好的word文档(无盖章版)</w:t>
      </w:r>
      <w:r>
        <w:rPr>
          <w:rFonts w:hint="eastAsia" w:ascii="宋体" w:hAnsi="宋体" w:eastAsia="宋体" w:cs="宋体"/>
          <w:color w:val="auto"/>
          <w:sz w:val="24"/>
          <w:highlight w:val="none"/>
        </w:rPr>
        <w:t xml:space="preserve"> 、盖章版扫描件及转账凭证截图</w:t>
      </w:r>
      <w:r>
        <w:rPr>
          <w:rFonts w:hint="eastAsia" w:ascii="宋体" w:hAnsi="宋体" w:eastAsia="宋体" w:cs="宋体"/>
          <w:color w:val="auto"/>
          <w:sz w:val="24"/>
          <w:szCs w:val="24"/>
          <w:highlight w:val="none"/>
        </w:rPr>
        <w:t>一并发送至代理机构邮箱(fjlqzb888@126.com)，发送邮件后请电话联系代理机构前台(0591-63037991)办理】，</w:t>
      </w:r>
      <w:r>
        <w:rPr>
          <w:rFonts w:hint="eastAsia" w:ascii="宋体" w:hAnsi="宋体" w:eastAsia="宋体" w:cs="宋体"/>
          <w:b/>
          <w:color w:val="auto"/>
          <w:sz w:val="24"/>
          <w:szCs w:val="24"/>
          <w:highlight w:val="none"/>
        </w:rPr>
        <w:t>否则投标将被拒绝。</w:t>
      </w:r>
    </w:p>
    <w:p w14:paraId="3F6168C1">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7.3现场（办理）获取地点：</w:t>
      </w:r>
      <w:r>
        <w:rPr>
          <w:rFonts w:hint="eastAsia" w:ascii="宋体" w:hAnsi="宋体" w:eastAsia="宋体" w:cs="宋体"/>
          <w:color w:val="auto"/>
          <w:sz w:val="24"/>
          <w:highlight w:val="none"/>
        </w:rPr>
        <w:t>福建立勤项目管理有限公司（福州市鼓楼区工业路523号福大怡山文化创意园北区3号楼101二层）</w:t>
      </w:r>
      <w:r>
        <w:rPr>
          <w:rFonts w:hint="eastAsia" w:ascii="宋体" w:hAnsi="宋体" w:eastAsia="宋体" w:cs="宋体"/>
          <w:color w:val="auto"/>
          <w:sz w:val="24"/>
          <w:szCs w:val="24"/>
          <w:highlight w:val="none"/>
        </w:rPr>
        <w:t>。</w:t>
      </w:r>
    </w:p>
    <w:p w14:paraId="394716F3">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7.4招标文件售价：招标文件（纸质或电子）</w:t>
      </w:r>
      <w:r>
        <w:rPr>
          <w:rFonts w:hint="eastAsia" w:ascii="宋体" w:hAnsi="宋体" w:eastAsia="宋体" w:cs="宋体"/>
          <w:color w:val="auto"/>
          <w:sz w:val="24"/>
          <w:szCs w:val="24"/>
          <w:highlight w:val="none"/>
          <w:u w:val="none"/>
        </w:rPr>
        <w:t>每套</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00元，</w:t>
      </w:r>
      <w:r>
        <w:rPr>
          <w:rFonts w:hint="eastAsia" w:ascii="宋体" w:hAnsi="宋体" w:eastAsia="宋体" w:cs="宋体"/>
          <w:color w:val="auto"/>
          <w:sz w:val="24"/>
          <w:szCs w:val="24"/>
          <w:highlight w:val="none"/>
        </w:rPr>
        <w:t>若邮寄，另加50元特快专递费，招标文件售出一概不退。代理机构不对邮寄过程中可能发生的延误或丢失负责。</w:t>
      </w:r>
    </w:p>
    <w:p w14:paraId="03D7E280">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投标截止</w:t>
      </w:r>
    </w:p>
    <w:p w14:paraId="50610528">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8.1投标截止时间：</w:t>
      </w:r>
      <w:r>
        <w:rPr>
          <w:rFonts w:hint="eastAsia" w:ascii="宋体" w:hAnsi="宋体" w:eastAsia="宋体" w:cs="宋体"/>
          <w:b w:val="0"/>
          <w:bCs/>
          <w:color w:val="auto"/>
          <w:kern w:val="2"/>
          <w:sz w:val="24"/>
          <w:szCs w:val="24"/>
          <w:highlight w:val="none"/>
          <w:u w:val="single"/>
          <w:lang w:val="en-US" w:eastAsia="zh-CN" w:bidi="ar"/>
        </w:rPr>
        <w:t>［2025年  月  日  :  ］（北京时间）</w:t>
      </w:r>
      <w:r>
        <w:rPr>
          <w:rFonts w:hint="eastAsia" w:ascii="宋体" w:hAnsi="宋体" w:eastAsia="宋体" w:cs="宋体"/>
          <w:b w:val="0"/>
          <w:bCs/>
          <w:color w:val="auto"/>
          <w:kern w:val="2"/>
          <w:sz w:val="24"/>
          <w:szCs w:val="24"/>
          <w:highlight w:val="none"/>
          <w:u w:val="none"/>
          <w:lang w:val="en-US" w:eastAsia="zh-CN" w:bidi="ar"/>
        </w:rPr>
        <w:t>。</w:t>
      </w:r>
      <w:r>
        <w:rPr>
          <w:rFonts w:hint="eastAsia" w:ascii="宋体" w:hAnsi="宋体" w:eastAsia="宋体" w:cs="宋体"/>
          <w:color w:val="auto"/>
          <w:sz w:val="24"/>
          <w:szCs w:val="24"/>
          <w:highlight w:val="none"/>
        </w:rPr>
        <w:t>若不一致，以更正公告</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为准。</w:t>
      </w:r>
    </w:p>
    <w:p w14:paraId="71FD52D5">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8.2投标人应在投标截止时间前将投标文件提交到福建立勤项目管理有限公司（福州市鼓楼区工业路523号福大怡山文化创意园北区3号楼101一层</w:t>
      </w:r>
      <w:r>
        <w:rPr>
          <w:rFonts w:hint="eastAsia" w:ascii="宋体" w:hAnsi="宋体" w:eastAsia="宋体" w:cs="宋体"/>
          <w:color w:val="auto"/>
          <w:sz w:val="24"/>
          <w:szCs w:val="24"/>
          <w:highlight w:val="none"/>
          <w:lang w:val="en-US" w:eastAsia="zh-CN"/>
        </w:rPr>
        <w:t>开标大厅</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逾期送达的或不符合规定的投标文件将被拒绝。</w:t>
      </w:r>
      <w:r>
        <w:rPr>
          <w:rFonts w:hint="eastAsia" w:ascii="宋体" w:hAnsi="宋体" w:eastAsia="宋体" w:cs="宋体"/>
          <w:color w:val="auto"/>
          <w:sz w:val="24"/>
          <w:szCs w:val="24"/>
          <w:highlight w:val="none"/>
        </w:rPr>
        <w:t>【温馨提示：由于交通拥堵，务请注意留足送交文件途中所需时间，避免迟到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2DB8D03">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开标时间及地点</w:t>
      </w:r>
      <w:r>
        <w:rPr>
          <w:rFonts w:hint="eastAsia" w:ascii="宋体" w:hAnsi="宋体" w:eastAsia="宋体" w:cs="宋体"/>
          <w:b/>
          <w:color w:val="auto"/>
          <w:sz w:val="24"/>
          <w:szCs w:val="24"/>
          <w:highlight w:val="none"/>
          <w:lang w:eastAsia="zh-CN"/>
        </w:rPr>
        <w:t>：</w:t>
      </w:r>
      <w:r>
        <w:rPr>
          <w:rFonts w:hint="eastAsia" w:ascii="宋体" w:hAnsi="宋体" w:eastAsia="宋体" w:cs="宋体"/>
          <w:b w:val="0"/>
          <w:bCs/>
          <w:color w:val="auto"/>
          <w:kern w:val="2"/>
          <w:sz w:val="24"/>
          <w:szCs w:val="24"/>
          <w:highlight w:val="none"/>
          <w:u w:val="single"/>
          <w:lang w:val="en-US" w:eastAsia="zh-CN" w:bidi="ar"/>
        </w:rPr>
        <w:t>［2025年  月  日  :  ］（北京时间）</w:t>
      </w:r>
      <w:r>
        <w:rPr>
          <w:rFonts w:hint="eastAsia" w:ascii="宋体" w:hAnsi="宋体" w:eastAsia="宋体" w:cs="宋体"/>
          <w:b w:val="0"/>
          <w:bCs/>
          <w:color w:val="auto"/>
          <w:kern w:val="2"/>
          <w:sz w:val="24"/>
          <w:szCs w:val="24"/>
          <w:highlight w:val="none"/>
          <w:u w:val="none"/>
          <w:lang w:val="en-US" w:eastAsia="zh-CN" w:bidi="ar"/>
        </w:rPr>
        <w:t>，</w:t>
      </w:r>
      <w:r>
        <w:rPr>
          <w:rFonts w:hint="eastAsia" w:ascii="宋体" w:hAnsi="宋体" w:eastAsia="宋体" w:cs="宋体"/>
          <w:color w:val="auto"/>
          <w:sz w:val="24"/>
          <w:szCs w:val="24"/>
          <w:highlight w:val="none"/>
        </w:rPr>
        <w:t>福建立勤项目管理有限公司（福州市鼓楼区工业路523号福大怡山文化创意园北区3号楼101一层</w:t>
      </w:r>
      <w:r>
        <w:rPr>
          <w:rFonts w:hint="eastAsia" w:ascii="宋体" w:hAnsi="宋体" w:eastAsia="宋体" w:cs="宋体"/>
          <w:color w:val="auto"/>
          <w:sz w:val="24"/>
          <w:szCs w:val="24"/>
          <w:highlight w:val="none"/>
          <w:lang w:val="en-US" w:eastAsia="zh-CN"/>
        </w:rPr>
        <w:t>开标大厅</w:t>
      </w:r>
      <w:r>
        <w:rPr>
          <w:rFonts w:hint="eastAsia" w:ascii="宋体" w:hAnsi="宋体" w:eastAsia="宋体" w:cs="宋体"/>
          <w:color w:val="auto"/>
          <w:sz w:val="24"/>
          <w:szCs w:val="24"/>
          <w:highlight w:val="none"/>
        </w:rPr>
        <w:t>）</w:t>
      </w:r>
      <w:r>
        <w:rPr>
          <w:rFonts w:hint="eastAsia" w:ascii="宋体" w:hAnsi="宋体" w:eastAsia="宋体" w:cs="宋体"/>
          <w:b w:val="0"/>
          <w:bCs/>
          <w:color w:val="auto"/>
          <w:kern w:val="2"/>
          <w:sz w:val="24"/>
          <w:szCs w:val="24"/>
          <w:highlight w:val="none"/>
          <w:u w:val="none"/>
          <w:lang w:val="en-US" w:eastAsia="zh-CN" w:bidi="ar"/>
        </w:rPr>
        <w:t>。</w:t>
      </w:r>
      <w:r>
        <w:rPr>
          <w:rFonts w:hint="eastAsia" w:ascii="宋体" w:hAnsi="宋体" w:eastAsia="宋体" w:cs="宋体"/>
          <w:color w:val="auto"/>
          <w:sz w:val="24"/>
          <w:szCs w:val="24"/>
          <w:highlight w:val="none"/>
        </w:rPr>
        <w:t>若不一致，以更正公告</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为准。</w:t>
      </w:r>
    </w:p>
    <w:p w14:paraId="21EF1D47">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公告期限</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自本项目采购信息发布媒体发布公告之日起5个工作日。</w:t>
      </w:r>
    </w:p>
    <w:p w14:paraId="35E46309">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11</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福州大学附属省立医院</w:t>
      </w:r>
    </w:p>
    <w:p w14:paraId="2647F3CA">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地址：福建省福州市鼓楼区东街134号</w:t>
      </w:r>
    </w:p>
    <w:p w14:paraId="3F984338">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none"/>
          <w:lang w:eastAsia="zh-CN"/>
        </w:rPr>
        <w:t>朱先生</w:t>
      </w:r>
      <w:r>
        <w:rPr>
          <w:rFonts w:hint="eastAsia" w:ascii="宋体" w:hAnsi="宋体" w:eastAsia="宋体" w:cs="宋体"/>
          <w:color w:val="auto"/>
          <w:sz w:val="24"/>
          <w:szCs w:val="24"/>
          <w:highlight w:val="none"/>
          <w:u w:val="none"/>
          <w:lang w:val="en-US" w:eastAsia="zh-CN"/>
        </w:rPr>
        <w:t xml:space="preserve">                     </w:t>
      </w:r>
    </w:p>
    <w:p w14:paraId="0F1E7D69">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u w:val="none"/>
          <w:lang w:val="en-US" w:eastAsia="zh-CN"/>
        </w:rPr>
        <w:t xml:space="preserve">0591-88216028                     </w:t>
      </w:r>
    </w:p>
    <w:p w14:paraId="70B47F98">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代理机构：福建立勤项目管理有限公司</w:t>
      </w:r>
    </w:p>
    <w:p w14:paraId="47D96CFC">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地址：福州市鼓楼区工业路523号福大怡山文化创意园北区3号楼101</w:t>
      </w:r>
    </w:p>
    <w:p w14:paraId="356649BA">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none"/>
          <w:lang w:val="en-US" w:eastAsia="zh-CN"/>
        </w:rPr>
        <w:t>张静、</w:t>
      </w:r>
      <w:r>
        <w:rPr>
          <w:rFonts w:hint="eastAsia" w:ascii="宋体" w:hAnsi="宋体" w:eastAsia="宋体" w:cs="宋体"/>
          <w:color w:val="auto"/>
          <w:sz w:val="24"/>
          <w:szCs w:val="24"/>
          <w:highlight w:val="none"/>
          <w:u w:val="none"/>
          <w:lang w:eastAsia="zh-CN"/>
        </w:rPr>
        <w:t>王炜林、</w:t>
      </w:r>
      <w:r>
        <w:rPr>
          <w:rFonts w:hint="eastAsia" w:ascii="宋体" w:hAnsi="宋体" w:eastAsia="宋体" w:cs="宋体"/>
          <w:color w:val="auto"/>
          <w:sz w:val="24"/>
          <w:szCs w:val="24"/>
          <w:highlight w:val="none"/>
          <w:u w:val="none"/>
          <w:lang w:val="en-US" w:eastAsia="zh-CN"/>
        </w:rPr>
        <w:t>徐朕</w:t>
      </w:r>
    </w:p>
    <w:p w14:paraId="4FAD2B3E">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联系电话：0591-</w:t>
      </w:r>
      <w:r>
        <w:rPr>
          <w:rFonts w:hint="eastAsia" w:ascii="宋体" w:hAnsi="宋体" w:eastAsia="宋体" w:cs="宋体"/>
          <w:color w:val="auto"/>
          <w:sz w:val="24"/>
          <w:szCs w:val="24"/>
          <w:highlight w:val="none"/>
          <w:u w:val="none"/>
          <w:lang w:val="en-US" w:eastAsia="zh-CN"/>
        </w:rPr>
        <w:t>63037998</w:t>
      </w:r>
    </w:p>
    <w:p w14:paraId="13F469F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u w:val="none"/>
          <w:lang w:val="en-US"/>
        </w:rPr>
      </w:pPr>
      <w:bookmarkStart w:id="10" w:name="_Toc143178223"/>
      <w:bookmarkStart w:id="11" w:name="_Toc18013"/>
      <w:bookmarkStart w:id="12" w:name="_Toc143177693"/>
      <w:r>
        <w:rPr>
          <w:rFonts w:hint="eastAsia" w:ascii="宋体" w:hAnsi="宋体" w:eastAsia="宋体" w:cs="宋体"/>
          <w:color w:val="auto"/>
          <w:sz w:val="24"/>
          <w:szCs w:val="24"/>
          <w:highlight w:val="none"/>
          <w:u w:val="none"/>
          <w:lang w:val="en-US" w:eastAsia="zh-CN"/>
        </w:rPr>
        <w:t>获取招标文件联系方式：王女士0591-63037991</w:t>
      </w:r>
    </w:p>
    <w:p w14:paraId="0EFFCEA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电子信箱：</w:t>
      </w: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"mailto:fjlqzb888@126.com" </w:instrText>
      </w:r>
      <w:r>
        <w:rPr>
          <w:rFonts w:hint="eastAsia" w:ascii="宋体" w:hAnsi="宋体" w:eastAsia="宋体" w:cs="宋体"/>
          <w:color w:val="auto"/>
          <w:sz w:val="24"/>
          <w:szCs w:val="24"/>
          <w:highlight w:val="none"/>
          <w:u w:val="none"/>
          <w:lang w:val="en-US" w:eastAsia="zh-CN"/>
        </w:rPr>
        <w:fldChar w:fldCharType="separate"/>
      </w:r>
      <w:r>
        <w:rPr>
          <w:rFonts w:hint="eastAsia" w:ascii="宋体" w:hAnsi="宋体" w:eastAsia="宋体" w:cs="宋体"/>
          <w:color w:val="auto"/>
          <w:sz w:val="24"/>
          <w:szCs w:val="24"/>
          <w:highlight w:val="none"/>
          <w:u w:val="none"/>
          <w:lang w:val="en-US"/>
        </w:rPr>
        <w:t>fjlqzb888@126.com</w:t>
      </w:r>
      <w:r>
        <w:rPr>
          <w:rFonts w:hint="eastAsia" w:ascii="宋体" w:hAnsi="宋体" w:eastAsia="宋体" w:cs="宋体"/>
          <w:color w:val="auto"/>
          <w:sz w:val="24"/>
          <w:szCs w:val="24"/>
          <w:highlight w:val="none"/>
          <w:u w:val="none"/>
          <w:lang w:val="en-US" w:eastAsia="zh-CN"/>
        </w:rPr>
        <w:fldChar w:fldCharType="end"/>
      </w:r>
    </w:p>
    <w:p w14:paraId="252C903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480"/>
        <w:jc w:val="both"/>
        <w:textAlignment w:val="auto"/>
        <w:outlineLvl w:val="2"/>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公司网址：</w:t>
      </w: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"http://www.fjlqzb.com" </w:instrText>
      </w:r>
      <w:r>
        <w:rPr>
          <w:rFonts w:hint="eastAsia" w:ascii="宋体" w:hAnsi="宋体" w:eastAsia="宋体" w:cs="宋体"/>
          <w:color w:val="auto"/>
          <w:sz w:val="24"/>
          <w:szCs w:val="24"/>
          <w:highlight w:val="none"/>
          <w:u w:val="none"/>
          <w:lang w:val="en-US" w:eastAsia="zh-CN"/>
        </w:rPr>
        <w:fldChar w:fldCharType="separate"/>
      </w:r>
      <w:r>
        <w:rPr>
          <w:rFonts w:hint="eastAsia" w:ascii="宋体" w:hAnsi="宋体" w:eastAsia="宋体" w:cs="宋体"/>
          <w:color w:val="auto"/>
          <w:sz w:val="24"/>
          <w:szCs w:val="24"/>
          <w:highlight w:val="none"/>
          <w:u w:val="none"/>
          <w:lang w:val="en-US" w:eastAsia="zh-CN"/>
        </w:rPr>
        <w:t>http://www.fjlqzb.com</w:t>
      </w:r>
      <w:r>
        <w:rPr>
          <w:rFonts w:hint="eastAsia" w:ascii="宋体" w:hAnsi="宋体" w:eastAsia="宋体" w:cs="宋体"/>
          <w:color w:val="auto"/>
          <w:sz w:val="24"/>
          <w:szCs w:val="24"/>
          <w:highlight w:val="none"/>
          <w:u w:val="none"/>
          <w:lang w:val="en-US" w:eastAsia="zh-CN"/>
        </w:rPr>
        <w:fldChar w:fldCharType="end"/>
      </w:r>
    </w:p>
    <w:p w14:paraId="42E480AE">
      <w:pPr>
        <w:pStyle w:val="18"/>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480"/>
        <w:jc w:val="left"/>
        <w:textAlignment w:val="auto"/>
        <w:outlineLvl w:val="2"/>
        <w:rPr>
          <w:rFonts w:hint="eastAsia" w:ascii="宋体" w:hAnsi="宋体" w:eastAsia="宋体" w:cs="宋体"/>
          <w:color w:val="auto"/>
          <w:sz w:val="28"/>
          <w:szCs w:val="28"/>
          <w:highlight w:val="none"/>
        </w:rPr>
      </w:pPr>
      <w:bookmarkStart w:id="13" w:name="_Toc11661"/>
      <w:bookmarkStart w:id="14" w:name="_Toc19821"/>
      <w:bookmarkStart w:id="15" w:name="_Toc4718"/>
      <w:bookmarkStart w:id="16" w:name="_Toc24024"/>
      <w:bookmarkStart w:id="17" w:name="_Toc30104"/>
      <w:bookmarkStart w:id="18" w:name="_Toc19865"/>
    </w:p>
    <w:p w14:paraId="69231940">
      <w:pPr>
        <w:rPr>
          <w:rFonts w:hint="eastAsia" w:ascii="宋体" w:hAnsi="宋体" w:eastAsia="宋体" w:cs="宋体"/>
          <w:color w:val="auto"/>
          <w:sz w:val="28"/>
          <w:szCs w:val="28"/>
          <w:highlight w:val="none"/>
        </w:rPr>
      </w:pPr>
    </w:p>
    <w:p w14:paraId="4BADE836">
      <w:pPr>
        <w:rPr>
          <w:rFonts w:hint="eastAsia" w:ascii="宋体" w:hAnsi="宋体" w:eastAsia="宋体" w:cs="宋体"/>
          <w:color w:val="auto"/>
          <w:sz w:val="28"/>
          <w:szCs w:val="28"/>
          <w:highlight w:val="none"/>
        </w:rPr>
      </w:pPr>
    </w:p>
    <w:p w14:paraId="461B96E3">
      <w:pPr>
        <w:rPr>
          <w:rFonts w:hint="eastAsia" w:ascii="宋体" w:hAnsi="宋体" w:eastAsia="宋体" w:cs="宋体"/>
          <w:color w:val="auto"/>
          <w:sz w:val="28"/>
          <w:szCs w:val="28"/>
          <w:highlight w:val="none"/>
        </w:rPr>
      </w:pPr>
    </w:p>
    <w:p w14:paraId="6D4803D3">
      <w:pPr>
        <w:rPr>
          <w:rFonts w:hint="eastAsia" w:ascii="宋体" w:hAnsi="宋体" w:eastAsia="宋体" w:cs="宋体"/>
          <w:color w:val="auto"/>
          <w:sz w:val="28"/>
          <w:szCs w:val="28"/>
          <w:highlight w:val="none"/>
        </w:rPr>
      </w:pPr>
    </w:p>
    <w:p w14:paraId="4A1D6FEE">
      <w:pPr>
        <w:rPr>
          <w:rFonts w:hint="eastAsia" w:ascii="宋体" w:hAnsi="宋体" w:eastAsia="宋体" w:cs="宋体"/>
          <w:color w:val="auto"/>
          <w:sz w:val="28"/>
          <w:szCs w:val="28"/>
          <w:highlight w:val="none"/>
        </w:rPr>
      </w:pPr>
    </w:p>
    <w:p w14:paraId="4DD564F3">
      <w:pPr>
        <w:rPr>
          <w:rFonts w:hint="eastAsia" w:ascii="宋体" w:hAnsi="宋体" w:eastAsia="宋体" w:cs="宋体"/>
          <w:color w:val="auto"/>
          <w:sz w:val="28"/>
          <w:szCs w:val="28"/>
          <w:highlight w:val="none"/>
        </w:rPr>
      </w:pPr>
    </w:p>
    <w:p w14:paraId="0F4CC465">
      <w:pPr>
        <w:rPr>
          <w:rFonts w:hint="eastAsia" w:ascii="宋体" w:hAnsi="宋体" w:eastAsia="宋体" w:cs="宋体"/>
          <w:color w:val="auto"/>
          <w:sz w:val="28"/>
          <w:szCs w:val="28"/>
          <w:highlight w:val="none"/>
        </w:rPr>
      </w:pPr>
    </w:p>
    <w:p w14:paraId="35C8DF3F">
      <w:pPr>
        <w:pStyle w:val="18"/>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480"/>
        <w:jc w:val="left"/>
        <w:textAlignment w:val="auto"/>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附1：账户信息</w:t>
      </w:r>
      <w:bookmarkEnd w:id="10"/>
      <w:bookmarkEnd w:id="11"/>
      <w:bookmarkEnd w:id="12"/>
      <w:r>
        <w:rPr>
          <w:rFonts w:hint="eastAsia" w:ascii="宋体" w:hAnsi="宋体" w:eastAsia="宋体" w:cs="宋体"/>
          <w:color w:val="auto"/>
          <w:sz w:val="28"/>
          <w:szCs w:val="28"/>
          <w:highlight w:val="none"/>
          <w:lang w:val="en-US"/>
        </w:rPr>
        <w:t>及特别提示</w:t>
      </w:r>
      <w:bookmarkEnd w:id="13"/>
      <w:bookmarkEnd w:id="14"/>
      <w:bookmarkEnd w:id="15"/>
      <w:bookmarkEnd w:id="16"/>
      <w:bookmarkEnd w:id="17"/>
      <w:bookmarkEnd w:id="18"/>
    </w:p>
    <w:tbl>
      <w:tblPr>
        <w:tblStyle w:val="22"/>
        <w:tblW w:w="88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1"/>
        <w:gridCol w:w="6883"/>
      </w:tblGrid>
      <w:tr w14:paraId="706F5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814" w:type="dxa"/>
            <w:gridSpan w:val="2"/>
          </w:tcPr>
          <w:p w14:paraId="610B0BD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递交投标保证金、获取招标文件、缴纳招标代理服务费账户</w:t>
            </w:r>
          </w:p>
        </w:tc>
      </w:tr>
      <w:tr w14:paraId="70AB1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7B6343F2">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rPr>
              <w:t>开户名称</w:t>
            </w:r>
          </w:p>
        </w:tc>
        <w:tc>
          <w:tcPr>
            <w:tcW w:w="6883" w:type="dxa"/>
            <w:tcBorders>
              <w:left w:val="single" w:color="auto" w:sz="4" w:space="0"/>
            </w:tcBorders>
            <w:vAlign w:val="center"/>
          </w:tcPr>
          <w:p w14:paraId="55034FBE">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福建立勤项目管理有限公司</w:t>
            </w:r>
          </w:p>
        </w:tc>
      </w:tr>
      <w:tr w14:paraId="2670B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5F79A073">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rPr>
              <w:t>开户银行</w:t>
            </w:r>
          </w:p>
        </w:tc>
        <w:tc>
          <w:tcPr>
            <w:tcW w:w="6883" w:type="dxa"/>
            <w:tcBorders>
              <w:left w:val="single" w:color="auto" w:sz="4" w:space="0"/>
            </w:tcBorders>
            <w:vAlign w:val="center"/>
          </w:tcPr>
          <w:p w14:paraId="58E5D5EF">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中国工商银行股份有限公司福州鼓楼支行</w:t>
            </w:r>
          </w:p>
        </w:tc>
      </w:tr>
      <w:tr w14:paraId="444EF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2C166FF6">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rPr>
              <w:t>银行账号</w:t>
            </w:r>
          </w:p>
        </w:tc>
        <w:tc>
          <w:tcPr>
            <w:tcW w:w="6883" w:type="dxa"/>
            <w:tcBorders>
              <w:left w:val="single" w:color="auto" w:sz="4" w:space="0"/>
            </w:tcBorders>
            <w:vAlign w:val="center"/>
          </w:tcPr>
          <w:p w14:paraId="640266E3">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1402 0232 0960 0058 290</w:t>
            </w:r>
          </w:p>
        </w:tc>
      </w:tr>
      <w:tr w14:paraId="28F13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6799D4E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bCs w:val="0"/>
                <w:color w:val="auto"/>
                <w:sz w:val="24"/>
                <w:szCs w:val="24"/>
                <w:highlight w:val="none"/>
              </w:rPr>
              <w:t>行</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号</w:t>
            </w:r>
          </w:p>
        </w:tc>
        <w:tc>
          <w:tcPr>
            <w:tcW w:w="6883" w:type="dxa"/>
            <w:tcBorders>
              <w:left w:val="single" w:color="auto" w:sz="4" w:space="0"/>
            </w:tcBorders>
            <w:vAlign w:val="center"/>
          </w:tcPr>
          <w:p w14:paraId="7AC77E6D">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bCs w:val="0"/>
                <w:color w:val="auto"/>
                <w:sz w:val="24"/>
                <w:szCs w:val="24"/>
                <w:highlight w:val="none"/>
              </w:rPr>
              <w:t>102391051057</w:t>
            </w:r>
          </w:p>
        </w:tc>
      </w:tr>
      <w:tr w14:paraId="61397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8814" w:type="dxa"/>
            <w:gridSpan w:val="2"/>
          </w:tcPr>
          <w:p w14:paraId="49388B2A">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特别提示</w:t>
            </w:r>
          </w:p>
        </w:tc>
      </w:tr>
      <w:tr w14:paraId="496F1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8814" w:type="dxa"/>
            <w:gridSpan w:val="2"/>
          </w:tcPr>
          <w:p w14:paraId="252DD54E">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1、投标人应认真核对账户信息，将投标保证金汇入以上账户，并自行承担因汇错投标保证金而产生的一切后果。</w:t>
            </w:r>
          </w:p>
          <w:p w14:paraId="4A7BA60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2、投标人在转账或电汇</w:t>
            </w:r>
            <w:r>
              <w:rPr>
                <w:rFonts w:hint="eastAsia" w:ascii="宋体" w:hAnsi="宋体" w:eastAsia="宋体" w:cs="宋体"/>
                <w:b w:val="0"/>
                <w:bCs/>
                <w:color w:val="auto"/>
                <w:sz w:val="24"/>
                <w:szCs w:val="24"/>
                <w:highlight w:val="none"/>
                <w:lang w:val="en-US" w:eastAsia="zh-CN"/>
              </w:rPr>
              <w:t>等</w:t>
            </w:r>
            <w:r>
              <w:rPr>
                <w:rFonts w:hint="eastAsia" w:ascii="宋体" w:hAnsi="宋体" w:eastAsia="宋体" w:cs="宋体"/>
                <w:b w:val="0"/>
                <w:bCs/>
                <w:color w:val="auto"/>
                <w:sz w:val="24"/>
                <w:szCs w:val="24"/>
                <w:highlight w:val="none"/>
              </w:rPr>
              <w:t>凭证上应按照以下格式注明，以便核对：“</w:t>
            </w:r>
            <w:r>
              <w:rPr>
                <w:rFonts w:hint="eastAsia" w:ascii="宋体" w:hAnsi="宋体" w:eastAsia="宋体" w:cs="宋体"/>
                <w:b w:val="0"/>
                <w:bCs/>
                <w:color w:val="auto"/>
                <w:sz w:val="24"/>
                <w:szCs w:val="24"/>
                <w:highlight w:val="none"/>
                <w:u w:val="none"/>
                <w:lang w:eastAsia="zh-CN"/>
              </w:rPr>
              <w:t>ZC2025-013</w:t>
            </w:r>
            <w:r>
              <w:rPr>
                <w:rFonts w:hint="eastAsia" w:ascii="宋体" w:hAnsi="宋体" w:eastAsia="宋体" w:cs="宋体"/>
                <w:b w:val="0"/>
                <w:bCs/>
                <w:color w:val="auto"/>
                <w:sz w:val="24"/>
                <w:szCs w:val="24"/>
                <w:highlight w:val="none"/>
              </w:rPr>
              <w:t>投标保证金”。</w:t>
            </w:r>
          </w:p>
          <w:p w14:paraId="7E200E0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3、开具发票事宜：投标人获取招标文件（若为个人转账，则发票抬头只能开具个人名字）或缴纳代理服务费（只能公对公转账），开具发票须提供与投标人公章一致的单位名称和纳税人识别号（即统一社会信用代码），发票抬头为个人或政府部门等无税号单位除外。</w:t>
            </w:r>
            <w:r>
              <w:rPr>
                <w:rFonts w:hint="eastAsia" w:asciiTheme="minorEastAsia" w:hAnsiTheme="minorEastAsia" w:eastAsiaTheme="minorEastAsia"/>
                <w:b/>
                <w:bCs/>
                <w:color w:val="auto"/>
                <w:sz w:val="24"/>
                <w:szCs w:val="24"/>
                <w:highlight w:val="none"/>
                <w:u w:val="single"/>
                <w:lang w:eastAsia="zh-CN"/>
              </w:rPr>
              <w:t>转账当月</w:t>
            </w:r>
            <w:r>
              <w:rPr>
                <w:rFonts w:hint="eastAsia" w:asciiTheme="minorEastAsia" w:hAnsiTheme="minorEastAsia" w:eastAsiaTheme="minorEastAsia"/>
                <w:b/>
                <w:bCs/>
                <w:color w:val="auto"/>
                <w:sz w:val="24"/>
                <w:szCs w:val="24"/>
                <w:highlight w:val="none"/>
                <w:lang w:eastAsia="zh-CN"/>
              </w:rPr>
              <w:t>请联系代理机构前台（</w:t>
            </w:r>
            <w:r>
              <w:rPr>
                <w:rFonts w:hint="eastAsia" w:asciiTheme="minorEastAsia" w:hAnsiTheme="minorEastAsia" w:eastAsiaTheme="minorEastAsia"/>
                <w:b/>
                <w:bCs/>
                <w:color w:val="auto"/>
                <w:sz w:val="24"/>
                <w:szCs w:val="24"/>
                <w:highlight w:val="none"/>
              </w:rPr>
              <w:t>0591-63037991</w:t>
            </w:r>
            <w:r>
              <w:rPr>
                <w:rFonts w:hint="eastAsia" w:asciiTheme="minorEastAsia" w:hAnsiTheme="minorEastAsia" w:eastAsiaTheme="minorEastAsia"/>
                <w:b/>
                <w:bCs/>
                <w:color w:val="auto"/>
                <w:sz w:val="24"/>
                <w:szCs w:val="24"/>
                <w:highlight w:val="none"/>
                <w:lang w:eastAsia="zh-CN"/>
              </w:rPr>
              <w:t>）办理，</w:t>
            </w:r>
            <w:r>
              <w:rPr>
                <w:rFonts w:hint="eastAsia" w:ascii="宋体" w:hAnsi="宋体" w:eastAsia="宋体" w:cs="宋体"/>
                <w:b w:val="0"/>
                <w:bCs/>
                <w:color w:val="auto"/>
                <w:sz w:val="24"/>
                <w:szCs w:val="24"/>
                <w:highlight w:val="none"/>
              </w:rPr>
              <w:t>若因未及时提供或提供错误信息造成的开票问题，</w:t>
            </w:r>
            <w:r>
              <w:rPr>
                <w:rFonts w:hint="eastAsia" w:ascii="宋体" w:hAnsi="宋体" w:eastAsia="宋体" w:cs="宋体"/>
                <w:b w:val="0"/>
                <w:bCs/>
                <w:color w:val="auto"/>
                <w:sz w:val="24"/>
                <w:szCs w:val="24"/>
                <w:highlight w:val="none"/>
                <w:lang w:eastAsia="zh-CN"/>
              </w:rPr>
              <w:t>代理机构</w:t>
            </w:r>
            <w:r>
              <w:rPr>
                <w:rFonts w:hint="eastAsia" w:ascii="宋体" w:hAnsi="宋体" w:eastAsia="宋体" w:cs="宋体"/>
                <w:b w:val="0"/>
                <w:bCs/>
                <w:color w:val="auto"/>
                <w:sz w:val="24"/>
                <w:szCs w:val="24"/>
                <w:highlight w:val="none"/>
              </w:rPr>
              <w:t>概不承担责任（不提供换票或补票等服务）。</w:t>
            </w:r>
          </w:p>
          <w:p w14:paraId="22DB5315">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 w:val="0"/>
                <w:bCs/>
                <w:color w:val="auto"/>
                <w:sz w:val="24"/>
                <w:szCs w:val="24"/>
                <w:highlight w:val="none"/>
              </w:rPr>
              <w:t>、投标保证金退还事宜：投标人制作投标文件时，应将《退回保证金说明函》(含清晰准确的保证金缴款凭证)另单独打印盖章一份与投标文件电子版（U盘）一起提交。中标人签订合同后将合同原件扫描件及《退回保证金说明函》(含清晰准确的保证金缴款凭证)发送至代理机构邮箱（fjlqzb888@126.com），或将合同原件(或加盖公章及骑缝章的复印件)及《退回保证金说明函》(含清晰准确的保证金缴款凭证)送至或邮寄至代理机构。否则由此造成投标保证金无法及时退还的，代理机构概不承担责任。</w:t>
            </w:r>
          </w:p>
          <w:p w14:paraId="393BAC38">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Cs/>
                <w:color w:val="auto"/>
                <w:sz w:val="24"/>
                <w:szCs w:val="24"/>
                <w:highlight w:val="none"/>
              </w:rPr>
              <w:t>5</w:t>
            </w:r>
            <w:r>
              <w:rPr>
                <w:rFonts w:hint="eastAsia" w:ascii="宋体" w:hAnsi="宋体" w:eastAsia="宋体" w:cs="宋体"/>
                <w:b w:val="0"/>
                <w:bCs/>
                <w:color w:val="auto"/>
                <w:sz w:val="24"/>
                <w:szCs w:val="24"/>
                <w:highlight w:val="none"/>
              </w:rPr>
              <w:t>、关于投标人名称：递交投标文件时投标人的单位名称应与获取招标文件登记的单位名称一致；投标保证金出账账户名称应与投标人名称一致。除能提供工商管理部门出具的单位名称变更证明外，</w:t>
            </w:r>
            <w:r>
              <w:rPr>
                <w:rFonts w:hint="eastAsia" w:ascii="宋体" w:hAnsi="宋体" w:eastAsia="宋体" w:cs="宋体"/>
                <w:b/>
                <w:color w:val="auto"/>
                <w:sz w:val="24"/>
                <w:szCs w:val="24"/>
                <w:highlight w:val="none"/>
              </w:rPr>
              <w:t>否则代理机构拒绝接收名称不符的投标文件</w:t>
            </w:r>
            <w:r>
              <w:rPr>
                <w:rFonts w:hint="eastAsia" w:ascii="宋体" w:hAnsi="宋体" w:eastAsia="宋体" w:cs="宋体"/>
                <w:b w:val="0"/>
                <w:bCs/>
                <w:color w:val="auto"/>
                <w:sz w:val="24"/>
                <w:szCs w:val="24"/>
                <w:highlight w:val="none"/>
              </w:rPr>
              <w:t>。</w:t>
            </w:r>
          </w:p>
        </w:tc>
      </w:tr>
    </w:tbl>
    <w:p w14:paraId="1C19213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48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998CD60">
      <w:pPr>
        <w:pStyle w:val="18"/>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480"/>
        <w:jc w:val="left"/>
        <w:textAlignment w:val="auto"/>
        <w:outlineLvl w:val="2"/>
        <w:rPr>
          <w:rFonts w:hint="eastAsia" w:ascii="宋体" w:hAnsi="宋体" w:eastAsia="宋体" w:cs="宋体"/>
          <w:color w:val="auto"/>
          <w:sz w:val="28"/>
          <w:szCs w:val="28"/>
          <w:highlight w:val="none"/>
        </w:rPr>
      </w:pPr>
      <w:bookmarkStart w:id="19" w:name="_Toc17363"/>
      <w:bookmarkStart w:id="20" w:name="_Toc19324"/>
      <w:bookmarkStart w:id="21" w:name="_Toc14520"/>
      <w:bookmarkStart w:id="22" w:name="_Toc143178224"/>
      <w:bookmarkStart w:id="23" w:name="_Toc22862"/>
      <w:bookmarkStart w:id="24" w:name="_Toc143177694"/>
      <w:bookmarkStart w:id="25" w:name="_Toc32622"/>
      <w:bookmarkStart w:id="26" w:name="_Toc25576"/>
      <w:bookmarkStart w:id="27" w:name="_Toc30789"/>
      <w:r>
        <w:rPr>
          <w:rFonts w:hint="eastAsia" w:ascii="宋体" w:hAnsi="宋体" w:eastAsia="宋体" w:cs="宋体"/>
          <w:color w:val="auto"/>
          <w:sz w:val="28"/>
          <w:szCs w:val="28"/>
          <w:highlight w:val="none"/>
        </w:rPr>
        <w:t>附2：采购标的一览表</w:t>
      </w:r>
      <w:bookmarkEnd w:id="19"/>
      <w:bookmarkEnd w:id="20"/>
      <w:bookmarkEnd w:id="21"/>
      <w:bookmarkEnd w:id="22"/>
      <w:bookmarkEnd w:id="23"/>
      <w:bookmarkEnd w:id="24"/>
      <w:bookmarkEnd w:id="25"/>
      <w:bookmarkEnd w:id="26"/>
      <w:bookmarkEnd w:id="27"/>
    </w:p>
    <w:p w14:paraId="61CA944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152BF1D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采购包</w:t>
      </w:r>
      <w:r>
        <w:rPr>
          <w:rFonts w:hint="eastAsia" w:ascii="宋体" w:hAnsi="宋体" w:eastAsia="宋体" w:cs="宋体"/>
          <w:b w:val="0"/>
          <w:color w:val="auto"/>
          <w:sz w:val="24"/>
          <w:szCs w:val="24"/>
          <w:highlight w:val="none"/>
          <w:u w:val="none"/>
        </w:rPr>
        <w:t>采购项目属性：</w:t>
      </w:r>
      <w:r>
        <w:rPr>
          <w:rFonts w:hint="eastAsia" w:ascii="宋体" w:hAnsi="宋体" w:eastAsia="宋体" w:cs="宋体"/>
          <w:color w:val="auto"/>
          <w:sz w:val="24"/>
          <w:szCs w:val="24"/>
          <w:highlight w:val="none"/>
          <w:u w:val="none"/>
          <w:lang w:val="en-US" w:eastAsia="zh-CN"/>
        </w:rPr>
        <w:t>“服务类”</w:t>
      </w:r>
    </w:p>
    <w:p w14:paraId="4F29309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采购包预算金额（元）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1566000.00</w:t>
      </w:r>
    </w:p>
    <w:p w14:paraId="0DAB2BB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采购包</w:t>
      </w:r>
      <w:r>
        <w:rPr>
          <w:rFonts w:hint="eastAsia" w:ascii="宋体" w:hAnsi="宋体" w:eastAsia="宋体" w:cs="宋体"/>
          <w:color w:val="auto"/>
          <w:sz w:val="24"/>
          <w:szCs w:val="24"/>
          <w:highlight w:val="none"/>
          <w:u w:val="none"/>
          <w:lang w:eastAsia="zh-CN"/>
        </w:rPr>
        <w:t>最低</w:t>
      </w:r>
      <w:r>
        <w:rPr>
          <w:rFonts w:hint="eastAsia" w:ascii="宋体" w:hAnsi="宋体" w:eastAsia="宋体" w:cs="宋体"/>
          <w:color w:val="auto"/>
          <w:sz w:val="24"/>
          <w:szCs w:val="24"/>
          <w:highlight w:val="none"/>
          <w:u w:val="none"/>
        </w:rPr>
        <w:t>限价（元）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1566000.00</w:t>
      </w:r>
    </w:p>
    <w:p w14:paraId="75035DE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采购包保证金金额（元）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15000.00</w:t>
      </w:r>
    </w:p>
    <w:tbl>
      <w:tblPr>
        <w:tblStyle w:val="2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42"/>
        <w:gridCol w:w="2793"/>
        <w:gridCol w:w="779"/>
        <w:gridCol w:w="1432"/>
        <w:gridCol w:w="851"/>
        <w:gridCol w:w="697"/>
        <w:gridCol w:w="1002"/>
      </w:tblGrid>
      <w:tr w14:paraId="389A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14:paraId="2D4DC462">
            <w:pPr>
              <w:pStyle w:val="11"/>
              <w:keepNext w:val="0"/>
              <w:keepLines w:val="0"/>
              <w:pageBreakBefore w:val="0"/>
              <w:widowControl w:val="0"/>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合同包</w:t>
            </w:r>
          </w:p>
        </w:tc>
        <w:tc>
          <w:tcPr>
            <w:tcW w:w="642" w:type="dxa"/>
            <w:tcBorders>
              <w:top w:val="single" w:color="auto" w:sz="4" w:space="0"/>
              <w:left w:val="single" w:color="auto" w:sz="4" w:space="0"/>
              <w:bottom w:val="single" w:color="auto" w:sz="4" w:space="0"/>
              <w:right w:val="single" w:color="auto" w:sz="4" w:space="0"/>
            </w:tcBorders>
            <w:vAlign w:val="center"/>
          </w:tcPr>
          <w:p w14:paraId="4F482E88">
            <w:pPr>
              <w:pStyle w:val="39"/>
              <w:keepNext w:val="0"/>
              <w:keepLines w:val="0"/>
              <w:pageBreakBefore w:val="0"/>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品目号</w:t>
            </w:r>
          </w:p>
        </w:tc>
        <w:tc>
          <w:tcPr>
            <w:tcW w:w="2793" w:type="dxa"/>
            <w:tcBorders>
              <w:top w:val="single" w:color="auto" w:sz="4" w:space="0"/>
              <w:left w:val="single" w:color="auto" w:sz="4" w:space="0"/>
              <w:bottom w:val="single" w:color="auto" w:sz="4" w:space="0"/>
              <w:right w:val="single" w:color="auto" w:sz="4" w:space="0"/>
            </w:tcBorders>
            <w:vAlign w:val="center"/>
          </w:tcPr>
          <w:p w14:paraId="2CE2D1B6">
            <w:pPr>
              <w:pStyle w:val="11"/>
              <w:keepNext w:val="0"/>
              <w:keepLines w:val="0"/>
              <w:pageBreakBefore w:val="0"/>
              <w:widowControl w:val="0"/>
              <w:kinsoku/>
              <w:wordWrap/>
              <w:overflowPunct/>
              <w:topLinePunct w:val="0"/>
              <w:autoSpaceDE/>
              <w:autoSpaceDN/>
              <w:bidi w:val="0"/>
              <w:spacing w:before="0" w:after="0"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品目名称</w:t>
            </w:r>
          </w:p>
        </w:tc>
        <w:tc>
          <w:tcPr>
            <w:tcW w:w="779" w:type="dxa"/>
            <w:tcBorders>
              <w:top w:val="single" w:color="auto" w:sz="4" w:space="0"/>
              <w:left w:val="single" w:color="auto" w:sz="4" w:space="0"/>
              <w:bottom w:val="single" w:color="auto" w:sz="4" w:space="0"/>
              <w:right w:val="single" w:color="auto" w:sz="4" w:space="0"/>
            </w:tcBorders>
            <w:vAlign w:val="center"/>
          </w:tcPr>
          <w:p w14:paraId="35218BFB">
            <w:pPr>
              <w:pStyle w:val="11"/>
              <w:keepNext w:val="0"/>
              <w:keepLines w:val="0"/>
              <w:pageBreakBefore w:val="0"/>
              <w:widowControl w:val="0"/>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lang w:eastAsia="zh-CN"/>
              </w:rPr>
              <w:t>数量</w:t>
            </w:r>
            <w:r>
              <w:rPr>
                <w:rFonts w:hint="eastAsia" w:ascii="宋体" w:hAnsi="宋体" w:eastAsia="宋体" w:cs="宋体"/>
                <w:color w:val="auto"/>
                <w:kern w:val="0"/>
                <w:sz w:val="24"/>
                <w:szCs w:val="24"/>
                <w:highlight w:val="none"/>
                <w:lang w:val="en-US" w:eastAsia="zh-CN"/>
              </w:rPr>
              <w:t>(台)</w:t>
            </w:r>
          </w:p>
        </w:tc>
        <w:tc>
          <w:tcPr>
            <w:tcW w:w="1432" w:type="dxa"/>
            <w:tcBorders>
              <w:top w:val="single" w:color="auto" w:sz="4" w:space="0"/>
              <w:left w:val="single" w:color="auto" w:sz="4" w:space="0"/>
              <w:bottom w:val="single" w:color="auto" w:sz="4" w:space="0"/>
              <w:right w:val="single" w:color="auto" w:sz="4" w:space="0"/>
            </w:tcBorders>
            <w:vAlign w:val="center"/>
          </w:tcPr>
          <w:p w14:paraId="0C3EA837">
            <w:pPr>
              <w:pStyle w:val="11"/>
              <w:keepNext w:val="0"/>
              <w:keepLines w:val="0"/>
              <w:pageBreakBefore w:val="0"/>
              <w:widowControl w:val="0"/>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月承包最低单价 </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元/月·台</w:t>
            </w:r>
            <w:r>
              <w:rPr>
                <w:rFonts w:hint="eastAsia" w:ascii="宋体" w:hAnsi="宋体" w:eastAsia="宋体" w:cs="宋体"/>
                <w:bCs/>
                <w:color w:val="auto"/>
                <w:sz w:val="24"/>
                <w:szCs w:val="24"/>
                <w:highlight w:val="none"/>
                <w:lang w:val="en-US"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14:paraId="22AE5228">
            <w:pPr>
              <w:pStyle w:val="11"/>
              <w:keepNext w:val="0"/>
              <w:keepLines w:val="0"/>
              <w:pageBreakBefore w:val="0"/>
              <w:widowControl w:val="0"/>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承包服务年限</w:t>
            </w:r>
          </w:p>
        </w:tc>
        <w:tc>
          <w:tcPr>
            <w:tcW w:w="697" w:type="dxa"/>
            <w:tcBorders>
              <w:top w:val="single" w:color="auto" w:sz="4" w:space="0"/>
              <w:left w:val="single" w:color="auto" w:sz="4" w:space="0"/>
              <w:bottom w:val="single" w:color="auto" w:sz="4" w:space="0"/>
              <w:right w:val="single" w:color="auto" w:sz="4" w:space="0"/>
            </w:tcBorders>
            <w:vAlign w:val="center"/>
          </w:tcPr>
          <w:p w14:paraId="7AA41607">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所属行业</w:t>
            </w:r>
          </w:p>
        </w:tc>
        <w:tc>
          <w:tcPr>
            <w:tcW w:w="1002" w:type="dxa"/>
            <w:tcBorders>
              <w:top w:val="single" w:color="auto" w:sz="4" w:space="0"/>
              <w:left w:val="single" w:color="auto" w:sz="4" w:space="0"/>
              <w:bottom w:val="single" w:color="auto" w:sz="4" w:space="0"/>
              <w:right w:val="single" w:color="auto" w:sz="4" w:space="0"/>
            </w:tcBorders>
            <w:vAlign w:val="center"/>
          </w:tcPr>
          <w:p w14:paraId="6AA4D11D">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是否允许进口产品</w:t>
            </w:r>
          </w:p>
        </w:tc>
      </w:tr>
      <w:tr w14:paraId="3D09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591" w:type="dxa"/>
            <w:vMerge w:val="restart"/>
            <w:tcBorders>
              <w:top w:val="single" w:color="auto" w:sz="4" w:space="0"/>
              <w:left w:val="single" w:color="auto" w:sz="4" w:space="0"/>
              <w:right w:val="single" w:color="auto" w:sz="4" w:space="0"/>
            </w:tcBorders>
            <w:vAlign w:val="center"/>
          </w:tcPr>
          <w:p w14:paraId="1BE63177">
            <w:pPr>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642" w:type="dxa"/>
            <w:tcBorders>
              <w:top w:val="single" w:color="auto" w:sz="4" w:space="0"/>
              <w:left w:val="single" w:color="auto" w:sz="4" w:space="0"/>
              <w:bottom w:val="single" w:color="auto" w:sz="4" w:space="0"/>
              <w:right w:val="single" w:color="auto" w:sz="4" w:space="0"/>
            </w:tcBorders>
            <w:vAlign w:val="center"/>
          </w:tcPr>
          <w:p w14:paraId="7ACCDD78">
            <w:pPr>
              <w:pStyle w:val="39"/>
              <w:keepNext w:val="0"/>
              <w:keepLines w:val="0"/>
              <w:pageBreakBefore w:val="0"/>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1-1</w:t>
            </w:r>
          </w:p>
        </w:tc>
        <w:tc>
          <w:tcPr>
            <w:tcW w:w="2793" w:type="dxa"/>
            <w:tcBorders>
              <w:top w:val="single" w:color="auto" w:sz="4" w:space="0"/>
              <w:left w:val="single" w:color="auto" w:sz="4" w:space="0"/>
              <w:bottom w:val="single" w:color="auto" w:sz="4" w:space="0"/>
              <w:right w:val="single" w:color="auto" w:sz="4" w:space="0"/>
            </w:tcBorders>
            <w:vAlign w:val="center"/>
          </w:tcPr>
          <w:p w14:paraId="1606F01D">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福州大学附属省立医院</w:t>
            </w:r>
            <w:r>
              <w:rPr>
                <w:rFonts w:hint="eastAsia" w:ascii="宋体" w:hAnsi="宋体" w:eastAsia="宋体" w:cs="宋体"/>
                <w:b/>
                <w:bCs/>
                <w:color w:val="auto"/>
                <w:sz w:val="24"/>
                <w:szCs w:val="24"/>
                <w:highlight w:val="none"/>
                <w:lang w:eastAsia="zh-CN"/>
              </w:rPr>
              <w:t>东街院区</w:t>
            </w:r>
            <w:r>
              <w:rPr>
                <w:rFonts w:hint="eastAsia" w:ascii="宋体" w:hAnsi="宋体" w:eastAsia="宋体" w:cs="宋体"/>
                <w:color w:val="auto"/>
                <w:sz w:val="24"/>
                <w:szCs w:val="24"/>
                <w:highlight w:val="none"/>
                <w:lang w:eastAsia="zh-CN"/>
              </w:rPr>
              <w:t>自助售卖机投放经营权出租</w:t>
            </w:r>
          </w:p>
        </w:tc>
        <w:tc>
          <w:tcPr>
            <w:tcW w:w="779" w:type="dxa"/>
            <w:tcBorders>
              <w:top w:val="single" w:color="auto" w:sz="4" w:space="0"/>
              <w:left w:val="single" w:color="auto" w:sz="4" w:space="0"/>
              <w:bottom w:val="single" w:color="auto" w:sz="4" w:space="0"/>
              <w:right w:val="single" w:color="auto" w:sz="4" w:space="0"/>
            </w:tcBorders>
            <w:vAlign w:val="center"/>
          </w:tcPr>
          <w:p w14:paraId="6481CD4E">
            <w:pPr>
              <w:pStyle w:val="39"/>
              <w:keepNext w:val="0"/>
              <w:keepLines w:val="0"/>
              <w:pageBreakBefore w:val="0"/>
              <w:kinsoku/>
              <w:wordWrap/>
              <w:overflowPunct/>
              <w:topLinePunct w:val="0"/>
              <w:autoSpaceDE/>
              <w:autoSpaceDN/>
              <w:bidi w:val="0"/>
              <w:spacing w:before="0" w:after="0" w:line="240" w:lineRule="auto"/>
              <w:jc w:val="center"/>
              <w:textAlignment w:val="auto"/>
              <w:rPr>
                <w:rFonts w:hint="default" w:ascii="宋体" w:hAnsi="宋体" w:eastAsia="宋体" w:cs="宋体"/>
                <w:bCs/>
                <w:color w:val="auto"/>
                <w:sz w:val="24"/>
                <w:szCs w:val="24"/>
                <w:highlight w:val="none"/>
                <w:lang w:val="en-US" w:eastAsia="zh-CN"/>
              </w:rPr>
            </w:pPr>
            <w:r>
              <w:rPr>
                <w:rFonts w:hint="eastAsia" w:hAnsi="宋体" w:eastAsia="宋体" w:cs="宋体"/>
                <w:bCs/>
                <w:color w:val="auto"/>
                <w:sz w:val="24"/>
                <w:szCs w:val="24"/>
                <w:highlight w:val="none"/>
                <w:lang w:val="en-US" w:eastAsia="zh-CN"/>
              </w:rPr>
              <w:t>15</w:t>
            </w:r>
          </w:p>
        </w:tc>
        <w:tc>
          <w:tcPr>
            <w:tcW w:w="1432" w:type="dxa"/>
            <w:vMerge w:val="restart"/>
            <w:tcBorders>
              <w:top w:val="single" w:color="auto" w:sz="4" w:space="0"/>
              <w:left w:val="single" w:color="auto" w:sz="4" w:space="0"/>
              <w:right w:val="single" w:color="auto" w:sz="4" w:space="0"/>
            </w:tcBorders>
            <w:vAlign w:val="center"/>
          </w:tcPr>
          <w:p w14:paraId="2B6F613D">
            <w:pPr>
              <w:keepNext w:val="0"/>
              <w:keepLines w:val="0"/>
              <w:pageBreakBefore w:val="0"/>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1500</w:t>
            </w:r>
          </w:p>
        </w:tc>
        <w:tc>
          <w:tcPr>
            <w:tcW w:w="851" w:type="dxa"/>
            <w:vMerge w:val="restart"/>
            <w:tcBorders>
              <w:top w:val="single" w:color="auto" w:sz="4" w:space="0"/>
              <w:left w:val="single" w:color="auto" w:sz="4" w:space="0"/>
              <w:right w:val="single" w:color="auto" w:sz="4" w:space="0"/>
            </w:tcBorders>
            <w:vAlign w:val="center"/>
          </w:tcPr>
          <w:p w14:paraId="16EA09B5">
            <w:pPr>
              <w:keepNext w:val="0"/>
              <w:keepLines w:val="0"/>
              <w:pageBreakBefore w:val="0"/>
              <w:widowControl w:val="0"/>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合同签订之日起三年（36个月）</w:t>
            </w:r>
          </w:p>
        </w:tc>
        <w:tc>
          <w:tcPr>
            <w:tcW w:w="697" w:type="dxa"/>
            <w:vMerge w:val="restart"/>
            <w:tcBorders>
              <w:top w:val="single" w:color="auto" w:sz="4" w:space="0"/>
              <w:left w:val="single" w:color="auto" w:sz="4" w:space="0"/>
              <w:right w:val="single" w:color="auto" w:sz="4" w:space="0"/>
            </w:tcBorders>
            <w:vAlign w:val="center"/>
          </w:tcPr>
          <w:p w14:paraId="2B597268">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kern w:val="20"/>
                <w:sz w:val="24"/>
                <w:szCs w:val="24"/>
                <w:highlight w:val="none"/>
                <w:lang w:val="en-US" w:eastAsia="zh-CN"/>
              </w:rPr>
              <w:t>租赁和商务服务业</w:t>
            </w:r>
          </w:p>
        </w:tc>
        <w:tc>
          <w:tcPr>
            <w:tcW w:w="1002" w:type="dxa"/>
            <w:vMerge w:val="restart"/>
            <w:tcBorders>
              <w:top w:val="single" w:color="auto" w:sz="4" w:space="0"/>
              <w:left w:val="single" w:color="auto" w:sz="4" w:space="0"/>
              <w:right w:val="single" w:color="auto" w:sz="4" w:space="0"/>
            </w:tcBorders>
            <w:vAlign w:val="center"/>
          </w:tcPr>
          <w:p w14:paraId="3BABEECF">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kern w:val="20"/>
                <w:sz w:val="24"/>
                <w:szCs w:val="24"/>
                <w:highlight w:val="none"/>
                <w:lang w:eastAsia="zh-CN"/>
              </w:rPr>
              <w:t>否</w:t>
            </w:r>
          </w:p>
        </w:tc>
      </w:tr>
      <w:tr w14:paraId="49C2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591" w:type="dxa"/>
            <w:vMerge w:val="continue"/>
            <w:tcBorders>
              <w:left w:val="single" w:color="auto" w:sz="4" w:space="0"/>
              <w:right w:val="single" w:color="auto" w:sz="4" w:space="0"/>
            </w:tcBorders>
            <w:vAlign w:val="center"/>
          </w:tcPr>
          <w:p w14:paraId="0E523E6D">
            <w:pPr>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Cs/>
                <w:color w:val="auto"/>
                <w:sz w:val="24"/>
                <w:szCs w:val="24"/>
                <w:highlight w:val="none"/>
                <w:lang w:val="en-US" w:eastAsia="zh-CN"/>
              </w:rPr>
            </w:pPr>
          </w:p>
        </w:tc>
        <w:tc>
          <w:tcPr>
            <w:tcW w:w="642" w:type="dxa"/>
            <w:tcBorders>
              <w:top w:val="single" w:color="auto" w:sz="4" w:space="0"/>
              <w:left w:val="single" w:color="auto" w:sz="4" w:space="0"/>
              <w:right w:val="single" w:color="auto" w:sz="4" w:space="0"/>
            </w:tcBorders>
            <w:vAlign w:val="center"/>
          </w:tcPr>
          <w:p w14:paraId="229AFFF3">
            <w:pPr>
              <w:pStyle w:val="39"/>
              <w:keepNext w:val="0"/>
              <w:keepLines w:val="0"/>
              <w:pageBreakBefore w:val="0"/>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1-2</w:t>
            </w:r>
          </w:p>
        </w:tc>
        <w:tc>
          <w:tcPr>
            <w:tcW w:w="2793" w:type="dxa"/>
            <w:tcBorders>
              <w:top w:val="single" w:color="auto" w:sz="4" w:space="0"/>
              <w:left w:val="single" w:color="auto" w:sz="4" w:space="0"/>
              <w:right w:val="single" w:color="auto" w:sz="4" w:space="0"/>
            </w:tcBorders>
            <w:vAlign w:val="center"/>
          </w:tcPr>
          <w:p w14:paraId="67B04407">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福州大学附属省立医院</w:t>
            </w:r>
            <w:r>
              <w:rPr>
                <w:rFonts w:hint="eastAsia" w:ascii="宋体" w:hAnsi="宋体" w:eastAsia="宋体" w:cs="宋体"/>
                <w:b/>
                <w:bCs/>
                <w:color w:val="auto"/>
                <w:sz w:val="24"/>
                <w:szCs w:val="24"/>
                <w:highlight w:val="none"/>
                <w:lang w:eastAsia="zh-CN"/>
              </w:rPr>
              <w:t>金山院区</w:t>
            </w:r>
            <w:r>
              <w:rPr>
                <w:rFonts w:hint="eastAsia" w:ascii="宋体" w:hAnsi="宋体" w:eastAsia="宋体" w:cs="宋体"/>
                <w:color w:val="auto"/>
                <w:sz w:val="24"/>
                <w:szCs w:val="24"/>
                <w:highlight w:val="none"/>
                <w:lang w:eastAsia="zh-CN"/>
              </w:rPr>
              <w:t>自助售卖机投放经营权出租</w:t>
            </w:r>
          </w:p>
        </w:tc>
        <w:tc>
          <w:tcPr>
            <w:tcW w:w="779" w:type="dxa"/>
            <w:tcBorders>
              <w:top w:val="single" w:color="auto" w:sz="4" w:space="0"/>
              <w:left w:val="single" w:color="auto" w:sz="4" w:space="0"/>
              <w:right w:val="single" w:color="auto" w:sz="4" w:space="0"/>
            </w:tcBorders>
            <w:vAlign w:val="center"/>
          </w:tcPr>
          <w:p w14:paraId="0CAEE7F9">
            <w:pPr>
              <w:pStyle w:val="39"/>
              <w:keepNext w:val="0"/>
              <w:keepLines w:val="0"/>
              <w:pageBreakBefore w:val="0"/>
              <w:kinsoku/>
              <w:wordWrap/>
              <w:overflowPunct/>
              <w:topLinePunct w:val="0"/>
              <w:autoSpaceDE/>
              <w:autoSpaceDN/>
              <w:bidi w:val="0"/>
              <w:spacing w:before="0" w:after="0" w:line="240" w:lineRule="auto"/>
              <w:jc w:val="center"/>
              <w:textAlignment w:val="auto"/>
              <w:rPr>
                <w:rFonts w:hint="default" w:ascii="宋体" w:hAnsi="宋体" w:eastAsia="宋体" w:cs="宋体"/>
                <w:bCs/>
                <w:color w:val="auto"/>
                <w:sz w:val="24"/>
                <w:szCs w:val="24"/>
                <w:highlight w:val="none"/>
                <w:lang w:val="en-US" w:eastAsia="zh-CN"/>
              </w:rPr>
            </w:pPr>
            <w:r>
              <w:rPr>
                <w:rFonts w:hint="eastAsia" w:hAnsi="宋体" w:eastAsia="宋体" w:cs="宋体"/>
                <w:bCs/>
                <w:color w:val="auto"/>
                <w:sz w:val="24"/>
                <w:szCs w:val="24"/>
                <w:highlight w:val="none"/>
                <w:lang w:val="en-US" w:eastAsia="zh-CN"/>
              </w:rPr>
              <w:t>14</w:t>
            </w:r>
          </w:p>
        </w:tc>
        <w:tc>
          <w:tcPr>
            <w:tcW w:w="1432" w:type="dxa"/>
            <w:vMerge w:val="continue"/>
            <w:tcBorders>
              <w:left w:val="single" w:color="auto" w:sz="4" w:space="0"/>
              <w:right w:val="single" w:color="auto" w:sz="4" w:space="0"/>
            </w:tcBorders>
            <w:vAlign w:val="center"/>
          </w:tcPr>
          <w:p w14:paraId="526575E8">
            <w:pPr>
              <w:keepNext w:val="0"/>
              <w:keepLines w:val="0"/>
              <w:pageBreakBefore w:val="0"/>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lang w:val="en-US" w:eastAsia="zh-CN"/>
              </w:rPr>
            </w:pPr>
          </w:p>
        </w:tc>
        <w:tc>
          <w:tcPr>
            <w:tcW w:w="851" w:type="dxa"/>
            <w:vMerge w:val="continue"/>
            <w:tcBorders>
              <w:left w:val="single" w:color="auto" w:sz="4" w:space="0"/>
              <w:right w:val="single" w:color="auto" w:sz="4" w:space="0"/>
            </w:tcBorders>
            <w:vAlign w:val="center"/>
          </w:tcPr>
          <w:p w14:paraId="6292A469">
            <w:pPr>
              <w:keepNext w:val="0"/>
              <w:keepLines w:val="0"/>
              <w:pageBreakBefore w:val="0"/>
              <w:widowControl w:val="0"/>
              <w:kinsoku/>
              <w:wordWrap/>
              <w:overflowPunct/>
              <w:topLinePunct w:val="0"/>
              <w:autoSpaceDE/>
              <w:autoSpaceDN/>
              <w:bidi w:val="0"/>
              <w:spacing w:before="0" w:after="0" w:line="240" w:lineRule="auto"/>
              <w:jc w:val="center"/>
              <w:textAlignment w:val="auto"/>
              <w:rPr>
                <w:rFonts w:hint="eastAsia" w:ascii="宋体" w:hAnsi="宋体" w:eastAsia="宋体" w:cs="宋体"/>
                <w:color w:val="auto"/>
                <w:kern w:val="0"/>
                <w:sz w:val="24"/>
                <w:szCs w:val="24"/>
                <w:highlight w:val="none"/>
              </w:rPr>
            </w:pPr>
          </w:p>
        </w:tc>
        <w:tc>
          <w:tcPr>
            <w:tcW w:w="697" w:type="dxa"/>
            <w:vMerge w:val="continue"/>
            <w:tcBorders>
              <w:left w:val="single" w:color="auto" w:sz="4" w:space="0"/>
              <w:right w:val="single" w:color="auto" w:sz="4" w:space="0"/>
            </w:tcBorders>
            <w:vAlign w:val="center"/>
          </w:tcPr>
          <w:p w14:paraId="7FAD83B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lang w:val="en-US" w:eastAsia="zh-CN"/>
              </w:rPr>
            </w:pPr>
          </w:p>
        </w:tc>
        <w:tc>
          <w:tcPr>
            <w:tcW w:w="1002" w:type="dxa"/>
            <w:vMerge w:val="continue"/>
            <w:tcBorders>
              <w:left w:val="single" w:color="auto" w:sz="4" w:space="0"/>
              <w:right w:val="single" w:color="auto" w:sz="4" w:space="0"/>
            </w:tcBorders>
            <w:vAlign w:val="center"/>
          </w:tcPr>
          <w:p w14:paraId="4A21C602">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lang w:val="en-US" w:eastAsia="zh-CN"/>
              </w:rPr>
            </w:pPr>
          </w:p>
        </w:tc>
      </w:tr>
    </w:tbl>
    <w:p w14:paraId="02F39AA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13EBED6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7F7D9DE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44E86AB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73B14C9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41B4406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09FA4AE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3D67E16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7E6C0AA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7A55269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69E12EE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5A39CE4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0131318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321FE39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552F7EC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16730D3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0282C8C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2A096CB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0F5CE6D6">
      <w:pPr>
        <w:pStyle w:val="18"/>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highlight w:val="none"/>
        </w:rPr>
      </w:pPr>
      <w:bookmarkStart w:id="28" w:name="_Toc143178225"/>
      <w:bookmarkStart w:id="29" w:name="_Toc692"/>
      <w:bookmarkStart w:id="30" w:name="_Toc143177695"/>
      <w:bookmarkStart w:id="31" w:name="_Toc30856"/>
      <w:bookmarkStart w:id="32" w:name="_Toc25448"/>
      <w:bookmarkStart w:id="33" w:name="_Toc3360"/>
      <w:bookmarkStart w:id="34" w:name="_Toc15158"/>
      <w:bookmarkStart w:id="35" w:name="_Toc10577"/>
      <w:bookmarkStart w:id="36" w:name="_Toc29147"/>
      <w:bookmarkStart w:id="37" w:name="_Toc16298"/>
      <w:r>
        <w:rPr>
          <w:rFonts w:hint="eastAsia" w:ascii="宋体" w:hAnsi="宋体" w:eastAsia="宋体" w:cs="宋体"/>
          <w:color w:val="auto"/>
          <w:highlight w:val="none"/>
        </w:rPr>
        <w:t>第二章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投标人须知前附表</w:t>
      </w:r>
      <w:bookmarkEnd w:id="28"/>
      <w:bookmarkEnd w:id="29"/>
      <w:bookmarkEnd w:id="30"/>
      <w:bookmarkEnd w:id="31"/>
      <w:bookmarkEnd w:id="32"/>
      <w:bookmarkEnd w:id="33"/>
      <w:bookmarkEnd w:id="34"/>
      <w:bookmarkEnd w:id="35"/>
      <w:bookmarkEnd w:id="36"/>
      <w:bookmarkEnd w:id="37"/>
    </w:p>
    <w:tbl>
      <w:tblPr>
        <w:tblStyle w:val="22"/>
        <w:tblW w:w="873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1318"/>
        <w:gridCol w:w="6553"/>
      </w:tblGrid>
      <w:tr w14:paraId="15B2A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730" w:type="dxa"/>
            <w:gridSpan w:val="3"/>
          </w:tcPr>
          <w:p w14:paraId="63B72C1E">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outlineLvl w:val="2"/>
              <w:rPr>
                <w:rFonts w:hint="eastAsia" w:ascii="宋体" w:hAnsi="宋体" w:eastAsia="宋体" w:cs="宋体"/>
                <w:b w:val="0"/>
                <w:bCs/>
                <w:color w:val="auto"/>
                <w:kern w:val="20"/>
                <w:sz w:val="24"/>
                <w:szCs w:val="24"/>
                <w:highlight w:val="none"/>
              </w:rPr>
            </w:pPr>
            <w:r>
              <w:rPr>
                <w:rFonts w:hint="eastAsia" w:ascii="宋体" w:hAnsi="宋体" w:eastAsia="宋体" w:cs="宋体"/>
                <w:b w:val="0"/>
                <w:bCs/>
                <w:color w:val="auto"/>
                <w:sz w:val="24"/>
                <w:szCs w:val="24"/>
                <w:highlight w:val="none"/>
              </w:rPr>
              <w:t>特别提示：本表与招标文件对应章节的内容若不一致，以本表为准。</w:t>
            </w:r>
          </w:p>
        </w:tc>
      </w:tr>
      <w:tr w14:paraId="582EA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vAlign w:val="center"/>
          </w:tcPr>
          <w:p w14:paraId="68FE6B1F">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1318" w:type="dxa"/>
            <w:vAlign w:val="center"/>
          </w:tcPr>
          <w:p w14:paraId="30C6C9FC">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w:t>
            </w:r>
          </w:p>
          <w:p w14:paraId="17D8A14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（第三章）</w:t>
            </w:r>
          </w:p>
        </w:tc>
        <w:tc>
          <w:tcPr>
            <w:tcW w:w="6553" w:type="dxa"/>
            <w:vAlign w:val="center"/>
          </w:tcPr>
          <w:p w14:paraId="75AD2461">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编列内容</w:t>
            </w:r>
          </w:p>
        </w:tc>
      </w:tr>
      <w:tr w14:paraId="15E18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157A10FF">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318" w:type="dxa"/>
          </w:tcPr>
          <w:p w14:paraId="7E64E5FE">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w:t>
            </w:r>
          </w:p>
        </w:tc>
        <w:tc>
          <w:tcPr>
            <w:tcW w:w="6553" w:type="dxa"/>
          </w:tcPr>
          <w:p w14:paraId="0E03104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是否组织现场考察或召开开标前答疑会：</w:t>
            </w:r>
          </w:p>
          <w:p w14:paraId="70E17203">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采购包1：</w:t>
            </w:r>
            <w:r>
              <w:rPr>
                <w:rFonts w:hint="eastAsia" w:ascii="宋体" w:hAnsi="宋体" w:eastAsia="宋体" w:cs="宋体"/>
                <w:b w:val="0"/>
                <w:bCs/>
                <w:color w:val="auto"/>
                <w:sz w:val="24"/>
                <w:szCs w:val="24"/>
                <w:highlight w:val="none"/>
                <w:u w:val="single"/>
                <w:lang w:val="en-US" w:eastAsia="zh-CN"/>
              </w:rPr>
              <w:t>不组织</w:t>
            </w:r>
          </w:p>
        </w:tc>
      </w:tr>
      <w:tr w14:paraId="3E970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057365B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1318" w:type="dxa"/>
          </w:tcPr>
          <w:p w14:paraId="2800E502">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10.4</w:t>
            </w:r>
          </w:p>
        </w:tc>
        <w:tc>
          <w:tcPr>
            <w:tcW w:w="6553" w:type="dxa"/>
          </w:tcPr>
          <w:p w14:paraId="4A58AB8C">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投标文件的份数：</w:t>
            </w:r>
          </w:p>
          <w:p w14:paraId="0CFC9402">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（1）可读介质（U盘）</w:t>
            </w:r>
            <w:r>
              <w:rPr>
                <w:rFonts w:hint="eastAsia" w:ascii="宋体" w:hAnsi="宋体" w:eastAsia="宋体" w:cs="宋体"/>
                <w:b w:val="0"/>
                <w:bCs/>
                <w:color w:val="auto"/>
                <w:sz w:val="24"/>
                <w:szCs w:val="24"/>
                <w:highlight w:val="none"/>
                <w:u w:val="single"/>
              </w:rPr>
              <w:t>壹</w:t>
            </w:r>
            <w:r>
              <w:rPr>
                <w:rFonts w:hint="eastAsia" w:ascii="宋体" w:hAnsi="宋体" w:eastAsia="宋体" w:cs="宋体"/>
                <w:b w:val="0"/>
                <w:bCs/>
                <w:color w:val="auto"/>
                <w:sz w:val="24"/>
                <w:szCs w:val="24"/>
                <w:highlight w:val="none"/>
              </w:rPr>
              <w:t>份：提供</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电子投标文件（纸质投标文件按招标文件要求签字并加盖公章后制作成PDF格式存放在</w:t>
            </w:r>
            <w:r>
              <w:rPr>
                <w:rFonts w:hint="eastAsia" w:ascii="宋体" w:hAnsi="宋体" w:eastAsia="宋体" w:cs="宋体"/>
                <w:b w:val="0"/>
                <w:bCs/>
                <w:color w:val="auto"/>
                <w:sz w:val="24"/>
                <w:szCs w:val="24"/>
                <w:highlight w:val="none"/>
                <w:lang w:val="en-US" w:eastAsia="zh-CN"/>
              </w:rPr>
              <w:t>U</w:t>
            </w:r>
            <w:r>
              <w:rPr>
                <w:rFonts w:hint="eastAsia" w:ascii="宋体" w:hAnsi="宋体" w:eastAsia="宋体" w:cs="宋体"/>
                <w:b w:val="0"/>
                <w:bCs/>
                <w:color w:val="auto"/>
                <w:sz w:val="24"/>
                <w:szCs w:val="24"/>
                <w:highlight w:val="none"/>
                <w:lang w:eastAsia="zh-CN"/>
              </w:rPr>
              <w:t>盘</w:t>
            </w:r>
            <w:r>
              <w:rPr>
                <w:rFonts w:hint="eastAsia" w:ascii="宋体" w:hAnsi="宋体" w:eastAsia="宋体" w:cs="宋体"/>
                <w:b w:val="0"/>
                <w:bCs/>
                <w:color w:val="auto"/>
                <w:sz w:val="24"/>
                <w:szCs w:val="24"/>
                <w:highlight w:val="none"/>
              </w:rPr>
              <w:t>中）与纸质投标文件报价部分正本一同密封，电子投标文件内容与纸质投标文件一致。</w:t>
            </w:r>
          </w:p>
          <w:p w14:paraId="31FD2235">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（2）纸质投标文件：提供纸质投标文件正本</w:t>
            </w:r>
            <w:r>
              <w:rPr>
                <w:rFonts w:hint="eastAsia" w:ascii="宋体" w:hAnsi="宋体" w:eastAsia="宋体" w:cs="宋体"/>
                <w:b w:val="0"/>
                <w:bCs/>
                <w:color w:val="auto"/>
                <w:sz w:val="24"/>
                <w:szCs w:val="24"/>
                <w:highlight w:val="none"/>
                <w:u w:val="single"/>
              </w:rPr>
              <w:t>壹</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伍</w:t>
            </w:r>
            <w:r>
              <w:rPr>
                <w:rFonts w:hint="eastAsia" w:ascii="宋体" w:hAnsi="宋体" w:eastAsia="宋体" w:cs="宋体"/>
                <w:b w:val="0"/>
                <w:bCs/>
                <w:color w:val="auto"/>
                <w:sz w:val="24"/>
                <w:szCs w:val="24"/>
                <w:highlight w:val="none"/>
              </w:rPr>
              <w:t>份。</w:t>
            </w:r>
          </w:p>
          <w:p w14:paraId="0F228BA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资格审查及评标均以纸质投标文件进行，纸质投标文件若与电子投标文件不一致，以纸质投标文件为准。纸质投标文件由“资格及资信证明部分”、“报价部分”及“技术商务部分”三部分组成，投标供应商将上述三部分分册单独胶装（为永久性、无破坏不可拆分）装订，否则有可能造成不利于投标人的评审。</w:t>
            </w:r>
          </w:p>
        </w:tc>
      </w:tr>
      <w:tr w14:paraId="4B4E1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6FC7C250">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1318" w:type="dxa"/>
          </w:tcPr>
          <w:p w14:paraId="02F1E58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10.7-（1）</w:t>
            </w:r>
          </w:p>
        </w:tc>
        <w:tc>
          <w:tcPr>
            <w:tcW w:w="6553" w:type="dxa"/>
          </w:tcPr>
          <w:p w14:paraId="0C522BF7">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是否允许中标人将本项目的非主体、非关键性工作进行分包：</w:t>
            </w:r>
          </w:p>
          <w:p w14:paraId="76D69573">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w:t>
            </w:r>
            <w:r>
              <w:rPr>
                <w:rFonts w:hint="eastAsia" w:ascii="宋体" w:hAnsi="宋体" w:eastAsia="宋体" w:cs="宋体"/>
                <w:b w:val="0"/>
                <w:bCs/>
                <w:color w:val="auto"/>
                <w:sz w:val="24"/>
                <w:szCs w:val="24"/>
                <w:highlight w:val="none"/>
                <w:u w:val="single"/>
              </w:rPr>
              <w:t>不允许合同分包</w:t>
            </w:r>
            <w:r>
              <w:rPr>
                <w:rFonts w:hint="eastAsia" w:ascii="宋体" w:hAnsi="宋体" w:eastAsia="宋体" w:cs="宋体"/>
                <w:b w:val="0"/>
                <w:bCs/>
                <w:color w:val="auto"/>
                <w:sz w:val="24"/>
                <w:szCs w:val="24"/>
                <w:highlight w:val="none"/>
              </w:rPr>
              <w:t>；</w:t>
            </w:r>
          </w:p>
        </w:tc>
      </w:tr>
      <w:tr w14:paraId="18817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56B81C8E">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1318" w:type="dxa"/>
          </w:tcPr>
          <w:p w14:paraId="30BBE5E4">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10.8-（1）</w:t>
            </w:r>
          </w:p>
        </w:tc>
        <w:tc>
          <w:tcPr>
            <w:tcW w:w="6553" w:type="dxa"/>
          </w:tcPr>
          <w:p w14:paraId="5FE22F5A">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投标有效期：投标截止时间起90个日历日。</w:t>
            </w:r>
          </w:p>
        </w:tc>
      </w:tr>
      <w:tr w14:paraId="5791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2C163F61">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1318" w:type="dxa"/>
          </w:tcPr>
          <w:p w14:paraId="2A120DCE">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12.1</w:t>
            </w:r>
          </w:p>
        </w:tc>
        <w:tc>
          <w:tcPr>
            <w:tcW w:w="6553" w:type="dxa"/>
          </w:tcPr>
          <w:p w14:paraId="25F28EA6">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确定中标候选人名单：</w:t>
            </w:r>
          </w:p>
          <w:p w14:paraId="68A71CC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w:t>
            </w:r>
            <w:r>
              <w:rPr>
                <w:rFonts w:hint="eastAsia" w:ascii="宋体" w:hAnsi="宋体" w:eastAsia="宋体" w:cs="宋体"/>
                <w:b w:val="0"/>
                <w:bCs/>
                <w:color w:val="auto"/>
                <w:sz w:val="24"/>
                <w:szCs w:val="24"/>
                <w:highlight w:val="none"/>
                <w:u w:val="single"/>
              </w:rPr>
              <w:t>1名</w:t>
            </w:r>
          </w:p>
        </w:tc>
      </w:tr>
      <w:tr w14:paraId="2F7D7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4DF3100E">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1318" w:type="dxa"/>
          </w:tcPr>
          <w:p w14:paraId="7D664E98">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12.2</w:t>
            </w:r>
          </w:p>
        </w:tc>
        <w:tc>
          <w:tcPr>
            <w:tcW w:w="6553" w:type="dxa"/>
          </w:tcPr>
          <w:p w14:paraId="4F1D2017">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本项目中标人的确定（以采购包为单位）：</w:t>
            </w:r>
          </w:p>
          <w:p w14:paraId="3227810C">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（1）采购人应在规定的时限内确定中标人。</w:t>
            </w:r>
          </w:p>
          <w:p w14:paraId="2356A799">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（2）若出现中标候选人并列情形，则按照下列方式确定中标人：</w:t>
            </w:r>
          </w:p>
          <w:p w14:paraId="3D59592C">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①招标文件规定的方式：无</w:t>
            </w:r>
          </w:p>
          <w:p w14:paraId="478E2C34">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②若本款第①点规定方式为“无”，则按照下列方式确定：无</w:t>
            </w:r>
          </w:p>
          <w:p w14:paraId="31D3EF37">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③若本款第①、②点规定方式均为“无”，则按照下列方式确定：随机抽取。</w:t>
            </w:r>
          </w:p>
          <w:p w14:paraId="33BD837C">
            <w:pPr>
              <w:pStyle w:val="30"/>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本项目确定的中标人家数：</w:t>
            </w:r>
          </w:p>
          <w:p w14:paraId="74E400D1">
            <w:pPr>
              <w:pStyle w:val="30"/>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none"/>
              </w:rPr>
              <w:t>采购包1：</w:t>
            </w:r>
            <w:r>
              <w:rPr>
                <w:rFonts w:hint="eastAsia" w:ascii="宋体" w:hAnsi="宋体" w:eastAsia="宋体" w:cs="宋体"/>
                <w:b w:val="0"/>
                <w:bCs/>
                <w:color w:val="auto"/>
                <w:sz w:val="24"/>
                <w:szCs w:val="24"/>
                <w:highlight w:val="none"/>
                <w:u w:val="single"/>
              </w:rPr>
              <w:t>1名</w:t>
            </w:r>
          </w:p>
        </w:tc>
      </w:tr>
      <w:tr w14:paraId="664C9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2A976BB0">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p>
        </w:tc>
        <w:tc>
          <w:tcPr>
            <w:tcW w:w="1318" w:type="dxa"/>
          </w:tcPr>
          <w:p w14:paraId="7562B97C">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w:t>
            </w:r>
          </w:p>
        </w:tc>
        <w:tc>
          <w:tcPr>
            <w:tcW w:w="6553" w:type="dxa"/>
          </w:tcPr>
          <w:p w14:paraId="3D9286E9">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合同签订时限：自中标通知书发出之日起30个日历日内。</w:t>
            </w:r>
          </w:p>
        </w:tc>
      </w:tr>
      <w:tr w14:paraId="6D2B1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61954CBC">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w:t>
            </w:r>
          </w:p>
        </w:tc>
        <w:tc>
          <w:tcPr>
            <w:tcW w:w="1318" w:type="dxa"/>
          </w:tcPr>
          <w:p w14:paraId="61C1F399">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15.1-（2）</w:t>
            </w:r>
          </w:p>
        </w:tc>
        <w:tc>
          <w:tcPr>
            <w:tcW w:w="6553" w:type="dxa"/>
          </w:tcPr>
          <w:p w14:paraId="2BB92FF9">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质疑函原件应采用下列方式提交：书面形式。</w:t>
            </w:r>
          </w:p>
        </w:tc>
      </w:tr>
      <w:tr w14:paraId="10630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314CADB5">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w:t>
            </w:r>
          </w:p>
        </w:tc>
        <w:tc>
          <w:tcPr>
            <w:tcW w:w="1318" w:type="dxa"/>
          </w:tcPr>
          <w:p w14:paraId="3AFE383C">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15.4</w:t>
            </w:r>
          </w:p>
        </w:tc>
        <w:tc>
          <w:tcPr>
            <w:tcW w:w="6553" w:type="dxa"/>
          </w:tcPr>
          <w:p w14:paraId="6A935812">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招标文件的质疑</w:t>
            </w:r>
          </w:p>
          <w:p w14:paraId="0C9C1AF3">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（1）潜在投标人可在质疑时效期间内对招标文件以书面形式提出质疑。</w:t>
            </w:r>
          </w:p>
          <w:p w14:paraId="152A77C1">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（2）质疑时效期间：</w:t>
            </w:r>
          </w:p>
          <w:p w14:paraId="0FC27F53">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在公告期限内获取招标文件的（发布招标公告之日起5个工作日内）：自获取招标文件之日起7个工作日内向招标代理机构提出，获取招标文件之日：现场办理获取招标文件事宜的，以书面登记日期为准；采用邮件方式办理获取招标文件事宜的，以转账相应的标书款至我司账户的到账时间为准。</w:t>
            </w:r>
          </w:p>
          <w:p w14:paraId="16F27C1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②在公告期限截止后至招标文件提供期限届满前的期间内获取招标文件的（招标文件提供期限长于公告期限的）：自公告期限届满之日起7个工作日内向招标代理机构提出。</w:t>
            </w:r>
          </w:p>
          <w:p w14:paraId="3847800F">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※除上述规定外，对招标文件提出的质疑还应符合招标文件第三章第15.1条的有关规定。</w:t>
            </w:r>
          </w:p>
        </w:tc>
      </w:tr>
      <w:tr w14:paraId="4A056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6628B507">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w:t>
            </w:r>
          </w:p>
        </w:tc>
        <w:tc>
          <w:tcPr>
            <w:tcW w:w="1318" w:type="dxa"/>
          </w:tcPr>
          <w:p w14:paraId="37A89F09">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16.1</w:t>
            </w:r>
          </w:p>
        </w:tc>
        <w:tc>
          <w:tcPr>
            <w:tcW w:w="6553" w:type="dxa"/>
          </w:tcPr>
          <w:p w14:paraId="4BBB7839">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监督管理部门：</w:t>
            </w:r>
            <w:r>
              <w:rPr>
                <w:rFonts w:hint="eastAsia" w:ascii="宋体" w:hAnsi="宋体" w:eastAsia="宋体" w:cs="宋体"/>
                <w:b w:val="0"/>
                <w:bCs/>
                <w:color w:val="auto"/>
                <w:sz w:val="24"/>
                <w:szCs w:val="24"/>
                <w:highlight w:val="none"/>
                <w:lang w:eastAsia="zh-CN"/>
              </w:rPr>
              <w:t>福州大学附属省立医院监管部门</w:t>
            </w:r>
            <w:r>
              <w:rPr>
                <w:rFonts w:hint="eastAsia" w:ascii="宋体" w:hAnsi="宋体" w:eastAsia="宋体" w:cs="宋体"/>
                <w:b w:val="0"/>
                <w:bCs/>
                <w:color w:val="auto"/>
                <w:sz w:val="24"/>
                <w:szCs w:val="24"/>
                <w:highlight w:val="none"/>
              </w:rPr>
              <w:t>。</w:t>
            </w:r>
          </w:p>
        </w:tc>
      </w:tr>
      <w:tr w14:paraId="207E2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7" w:hRule="atLeast"/>
          <w:jc w:val="center"/>
        </w:trPr>
        <w:tc>
          <w:tcPr>
            <w:tcW w:w="859" w:type="dxa"/>
          </w:tcPr>
          <w:p w14:paraId="0853E31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p>
        </w:tc>
        <w:tc>
          <w:tcPr>
            <w:tcW w:w="1318" w:type="dxa"/>
          </w:tcPr>
          <w:p w14:paraId="5E68F20D">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18.1</w:t>
            </w:r>
          </w:p>
        </w:tc>
        <w:tc>
          <w:tcPr>
            <w:tcW w:w="6553" w:type="dxa"/>
          </w:tcPr>
          <w:p w14:paraId="2D58F1B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采购信息发布媒体（以下简称：“指定媒体”）：</w:t>
            </w:r>
          </w:p>
          <w:p w14:paraId="4F74468E">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福州大学附属省立医院官</w:t>
            </w:r>
            <w:r>
              <w:rPr>
                <w:rFonts w:hint="eastAsia" w:ascii="宋体" w:hAnsi="宋体" w:eastAsia="宋体" w:cs="宋体"/>
                <w:color w:val="auto"/>
                <w:sz w:val="24"/>
                <w:szCs w:val="24"/>
                <w:highlight w:val="none"/>
                <w:u w:val="none"/>
              </w:rPr>
              <w:t>网（https://www.fjsl.com.cn）</w:t>
            </w:r>
            <w:r>
              <w:rPr>
                <w:rFonts w:hint="eastAsia" w:ascii="宋体" w:hAnsi="宋体" w:eastAsia="宋体" w:cs="宋体"/>
                <w:color w:val="auto"/>
                <w:sz w:val="24"/>
                <w:szCs w:val="24"/>
                <w:highlight w:val="none"/>
                <w:u w:val="none"/>
                <w:lang w:eastAsia="zh-CN"/>
              </w:rPr>
              <w:t>；</w:t>
            </w:r>
          </w:p>
          <w:p w14:paraId="4BFFA994">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工采通电子招投标交易平台（</w:t>
            </w:r>
            <w:r>
              <w:rPr>
                <w:rFonts w:hint="eastAsia" w:ascii="宋体" w:hAnsi="宋体" w:eastAsia="宋体" w:cs="宋体"/>
                <w:b w:val="0"/>
                <w:bCs/>
                <w:color w:val="auto"/>
                <w:sz w:val="24"/>
                <w:szCs w:val="24"/>
                <w:highlight w:val="none"/>
              </w:rPr>
              <w:t>https://easy-prt.com/home</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w:t>
            </w:r>
          </w:p>
          <w:p w14:paraId="1AE5829E">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※若出现上述指定媒体信息不一致情形，应以福州大学附属省立医院官网发布的为准。</w:t>
            </w:r>
          </w:p>
        </w:tc>
      </w:tr>
      <w:tr w14:paraId="38142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41CC1604">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p>
        </w:tc>
        <w:tc>
          <w:tcPr>
            <w:tcW w:w="1318" w:type="dxa"/>
          </w:tcPr>
          <w:p w14:paraId="1D795AA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w:t>
            </w:r>
          </w:p>
        </w:tc>
        <w:tc>
          <w:tcPr>
            <w:tcW w:w="6553" w:type="dxa"/>
          </w:tcPr>
          <w:p w14:paraId="17D6E096">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其他事项：</w:t>
            </w:r>
          </w:p>
          <w:p w14:paraId="2E3614E0">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1、本项目代理服务费：</w:t>
            </w:r>
          </w:p>
          <w:p w14:paraId="09DC316B">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本项目收取代理服务费</w:t>
            </w:r>
          </w:p>
          <w:p w14:paraId="58973440">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rPr>
              <w:t>代理服务费用收</w:t>
            </w:r>
            <w:r>
              <w:rPr>
                <w:rFonts w:hint="eastAsia" w:ascii="宋体" w:hAnsi="宋体" w:eastAsia="宋体" w:cs="宋体"/>
                <w:b w:val="0"/>
                <w:bCs/>
                <w:color w:val="auto"/>
                <w:sz w:val="24"/>
                <w:szCs w:val="24"/>
                <w:highlight w:val="none"/>
                <w:u w:val="none"/>
              </w:rPr>
              <w:t>取对象：中标供应商</w:t>
            </w:r>
          </w:p>
          <w:p w14:paraId="0796B587">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rPr>
              <w:t>代理服务费收费标准：</w:t>
            </w:r>
            <w:r>
              <w:rPr>
                <w:rFonts w:hint="eastAsia" w:ascii="宋体" w:hAnsi="宋体" w:eastAsia="宋体" w:cs="宋体"/>
                <w:color w:val="auto"/>
                <w:spacing w:val="0"/>
                <w:sz w:val="24"/>
                <w:szCs w:val="24"/>
                <w:highlight w:val="none"/>
              </w:rPr>
              <w:t>本项目服务费以中标价为基数进行计算，100万元以下的部分按1.5%</w:t>
            </w:r>
            <w:r>
              <w:rPr>
                <w:rFonts w:hint="eastAsia" w:ascii="宋体" w:hAnsi="宋体" w:eastAsia="宋体" w:cs="宋体"/>
                <w:color w:val="auto"/>
                <w:spacing w:val="0"/>
                <w:sz w:val="24"/>
                <w:szCs w:val="24"/>
                <w:highlight w:val="none"/>
                <w:lang w:eastAsia="zh-CN"/>
              </w:rPr>
              <w:t>计算</w:t>
            </w:r>
            <w:r>
              <w:rPr>
                <w:rFonts w:hint="eastAsia" w:ascii="宋体" w:hAnsi="宋体" w:eastAsia="宋体" w:cs="宋体"/>
                <w:color w:val="auto"/>
                <w:spacing w:val="0"/>
                <w:sz w:val="24"/>
                <w:szCs w:val="24"/>
                <w:highlight w:val="none"/>
              </w:rPr>
              <w:t>，100万元～500万元的部分按</w:t>
            </w:r>
            <w:r>
              <w:rPr>
                <w:rFonts w:hint="eastAsia" w:ascii="宋体" w:hAnsi="宋体" w:eastAsia="宋体" w:cs="宋体"/>
                <w:color w:val="auto"/>
                <w:sz w:val="24"/>
                <w:szCs w:val="24"/>
                <w:highlight w:val="none"/>
              </w:rPr>
              <w:t>0.8</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计算，</w:t>
            </w:r>
            <w:r>
              <w:rPr>
                <w:rFonts w:hint="eastAsia" w:ascii="宋体" w:hAnsi="宋体" w:eastAsia="宋体" w:cs="宋体"/>
                <w:color w:val="auto"/>
                <w:spacing w:val="0"/>
                <w:sz w:val="24"/>
                <w:szCs w:val="24"/>
                <w:highlight w:val="none"/>
              </w:rPr>
              <w:t>按差额定率累进法</w:t>
            </w:r>
            <w:r>
              <w:rPr>
                <w:rFonts w:hint="eastAsia" w:ascii="宋体" w:hAnsi="宋体" w:eastAsia="宋体" w:cs="宋体"/>
                <w:color w:val="auto"/>
                <w:spacing w:val="0"/>
                <w:sz w:val="24"/>
                <w:szCs w:val="24"/>
                <w:highlight w:val="none"/>
                <w:lang w:eastAsia="zh-CN"/>
              </w:rPr>
              <w:t>计算后</w:t>
            </w:r>
            <w:r>
              <w:rPr>
                <w:rFonts w:hint="eastAsia" w:ascii="宋体" w:hAnsi="宋体" w:eastAsia="宋体" w:cs="宋体"/>
                <w:color w:val="auto"/>
                <w:spacing w:val="0"/>
                <w:sz w:val="24"/>
                <w:szCs w:val="24"/>
                <w:highlight w:val="none"/>
              </w:rPr>
              <w:t>下浮30%</w:t>
            </w:r>
            <w:r>
              <w:rPr>
                <w:rFonts w:hint="eastAsia" w:ascii="宋体" w:hAnsi="宋体" w:eastAsia="宋体" w:cs="宋体"/>
                <w:b w:val="0"/>
                <w:bCs/>
                <w:color w:val="auto"/>
                <w:sz w:val="24"/>
                <w:szCs w:val="24"/>
                <w:highlight w:val="none"/>
                <w:u w:val="none"/>
                <w:lang w:val="en-US" w:eastAsia="zh-CN"/>
              </w:rPr>
              <w:t>收取</w:t>
            </w:r>
            <w:r>
              <w:rPr>
                <w:rFonts w:hint="eastAsia" w:ascii="宋体" w:hAnsi="宋体" w:eastAsia="宋体" w:cs="宋体"/>
                <w:b w:val="0"/>
                <w:bCs/>
                <w:color w:val="auto"/>
                <w:sz w:val="24"/>
                <w:szCs w:val="24"/>
                <w:highlight w:val="none"/>
                <w:u w:val="none"/>
              </w:rPr>
              <w:t>，服务费不足2000元的按2000元计取。</w:t>
            </w:r>
            <w:r>
              <w:rPr>
                <w:rFonts w:hint="eastAsia" w:ascii="宋体" w:hAnsi="宋体" w:eastAsia="宋体" w:cs="宋体"/>
                <w:b w:val="0"/>
                <w:bCs/>
                <w:color w:val="auto"/>
                <w:sz w:val="24"/>
                <w:szCs w:val="24"/>
                <w:highlight w:val="none"/>
                <w:u w:val="none"/>
                <w:lang w:val="en-US" w:eastAsia="zh-CN"/>
              </w:rPr>
              <w:t xml:space="preserve">                    </w:t>
            </w:r>
          </w:p>
          <w:p w14:paraId="5628B684">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2、其他：</w:t>
            </w:r>
          </w:p>
          <w:p w14:paraId="0258FD73">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投标人在递交质疑函时除提供本招标文件规定的相关材料外，质疑受理的其他要求：①质疑人为法人或其他组织的，质疑函需加盖质疑人单位公章；若本项目接受自然人投标且质疑人为自然人的，质疑函需质疑人本人签名</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否则质疑将不予受理。②在法定质疑期内质疑人须一次性提出针对同一采购程序环节的质疑，二（多）次质疑不予受理。③质疑人递交质疑函时还</w:t>
            </w:r>
            <w:r>
              <w:rPr>
                <w:rFonts w:hint="eastAsia" w:ascii="宋体" w:hAnsi="宋体" w:eastAsia="宋体" w:cs="宋体"/>
                <w:b w:val="0"/>
                <w:bCs/>
                <w:color w:val="auto"/>
                <w:sz w:val="24"/>
                <w:szCs w:val="24"/>
                <w:highlight w:val="none"/>
                <w:lang w:val="en-US" w:eastAsia="zh-CN"/>
              </w:rPr>
              <w:t>需</w:t>
            </w:r>
            <w:r>
              <w:rPr>
                <w:rFonts w:hint="eastAsia" w:ascii="宋体" w:hAnsi="宋体" w:eastAsia="宋体" w:cs="宋体"/>
                <w:b w:val="0"/>
                <w:bCs/>
                <w:color w:val="auto"/>
                <w:sz w:val="24"/>
                <w:szCs w:val="24"/>
                <w:highlight w:val="none"/>
              </w:rPr>
              <w:t>出具质疑人已获取本项目招标文件</w:t>
            </w:r>
            <w:r>
              <w:rPr>
                <w:rFonts w:hint="eastAsia" w:ascii="宋体" w:hAnsi="宋体" w:eastAsia="宋体" w:cs="宋体"/>
                <w:b w:val="0"/>
                <w:bCs/>
                <w:color w:val="auto"/>
                <w:sz w:val="24"/>
                <w:highlight w:val="none"/>
                <w:u w:val="none"/>
              </w:rPr>
              <w:t>后</w:t>
            </w:r>
            <w:r>
              <w:rPr>
                <w:rFonts w:hint="eastAsia" w:ascii="宋体" w:hAnsi="宋体" w:eastAsia="宋体" w:cs="宋体"/>
                <w:b w:val="0"/>
                <w:bCs/>
                <w:color w:val="auto"/>
                <w:sz w:val="24"/>
                <w:highlight w:val="none"/>
                <w:u w:val="single"/>
              </w:rPr>
              <w:t>代理机构开具的发票或收据复印件</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未依法获取招标文件的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质疑函将不予受理。④接收质疑函的方式、联系部门、联系电话和通讯地址：1)接收质疑函的方式：书面原件形式；2)接收质疑函的联系部门：项目部；3)</w:t>
            </w:r>
            <w:r>
              <w:rPr>
                <w:rFonts w:hint="eastAsia" w:ascii="宋体" w:hAnsi="宋体" w:eastAsia="宋体" w:cs="宋体"/>
                <w:b w:val="0"/>
                <w:bCs/>
                <w:color w:val="auto"/>
                <w:sz w:val="24"/>
                <w:szCs w:val="24"/>
                <w:highlight w:val="none"/>
                <w:u w:val="none"/>
              </w:rPr>
              <w:t>接收质疑函的联系人：</w:t>
            </w:r>
            <w:r>
              <w:rPr>
                <w:rFonts w:hint="eastAsia" w:ascii="宋体" w:hAnsi="宋体" w:eastAsia="宋体" w:cs="宋体"/>
                <w:b w:val="0"/>
                <w:bCs/>
                <w:color w:val="auto"/>
                <w:sz w:val="24"/>
                <w:szCs w:val="24"/>
                <w:highlight w:val="none"/>
                <w:u w:val="none"/>
                <w:lang w:val="en-US" w:eastAsia="zh-CN"/>
              </w:rPr>
              <w:t>张静</w:t>
            </w:r>
            <w:r>
              <w:rPr>
                <w:rFonts w:hint="eastAsia" w:ascii="宋体" w:hAnsi="宋体" w:eastAsia="宋体" w:cs="宋体"/>
                <w:b w:val="0"/>
                <w:bCs/>
                <w:color w:val="auto"/>
                <w:sz w:val="24"/>
                <w:szCs w:val="24"/>
                <w:highlight w:val="none"/>
              </w:rPr>
              <w:t>，联系电话：0591-</w:t>
            </w:r>
            <w:r>
              <w:rPr>
                <w:rFonts w:hint="eastAsia" w:ascii="宋体" w:hAnsi="宋体" w:eastAsia="宋体" w:cs="宋体"/>
                <w:b w:val="0"/>
                <w:bCs/>
                <w:color w:val="auto"/>
                <w:sz w:val="24"/>
                <w:szCs w:val="24"/>
                <w:highlight w:val="none"/>
                <w:u w:val="none"/>
                <w:lang w:val="en-US" w:eastAsia="zh-CN"/>
              </w:rPr>
              <w:t>63037998</w:t>
            </w:r>
            <w:r>
              <w:rPr>
                <w:rFonts w:hint="eastAsia" w:ascii="宋体" w:hAnsi="宋体" w:eastAsia="宋体" w:cs="宋体"/>
                <w:b w:val="0"/>
                <w:bCs/>
                <w:color w:val="auto"/>
                <w:sz w:val="24"/>
                <w:szCs w:val="24"/>
                <w:highlight w:val="none"/>
              </w:rPr>
              <w:t>；4)接收质疑函的通讯地址：福州市鼓楼区工业路523号福大怡山文化创意园3号楼101二层。</w:t>
            </w:r>
          </w:p>
          <w:p w14:paraId="741CFD9F">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2.2投标人对中标结果提出质疑的，请于中标公告期限届满之日（发布中标公告之日起1个工作日）起7个工作日内提出。</w:t>
            </w:r>
          </w:p>
          <w:p w14:paraId="593427AA">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2.3投标将被拒绝、无效投标（或投标无效）及废标条款：</w:t>
            </w:r>
          </w:p>
          <w:p w14:paraId="38F67EA4">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①出现第一章投标邀请第7.2、8.2及“★”条款中投标（文件）被拒绝规定的；</w:t>
            </w:r>
          </w:p>
          <w:p w14:paraId="112F59B6">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②出现第三章投标人须知第9、10.6、10.8、10.9、10.12条款中无效投标（或投标无效）规定的；</w:t>
            </w:r>
          </w:p>
          <w:p w14:paraId="053FFAA9">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③出现第四章“一、资格审查”与“二、评标”中无效投标（或投标无效）或废标规定的（资格及符合性审查不合格的情形）；</w:t>
            </w:r>
          </w:p>
          <w:p w14:paraId="2D35851D">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④出现第五章招标内容及要求中无效投标（或投标无效）规定的情形；</w:t>
            </w:r>
          </w:p>
          <w:p w14:paraId="1A2416F2">
            <w:pPr>
              <w:pStyle w:val="30"/>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⑤出现第七章投标文件格式中无效投标（或投标无效）规定的情形。</w:t>
            </w:r>
          </w:p>
        </w:tc>
      </w:tr>
    </w:tbl>
    <w:p w14:paraId="00666E3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677374D">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3D700DF">
      <w:pPr>
        <w:pStyle w:val="18"/>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highlight w:val="none"/>
        </w:rPr>
      </w:pPr>
      <w:bookmarkStart w:id="38" w:name="_Toc19880"/>
      <w:bookmarkStart w:id="39" w:name="_Toc143178226"/>
      <w:bookmarkStart w:id="40" w:name="_Toc21049"/>
      <w:bookmarkStart w:id="41" w:name="_Toc7794"/>
      <w:bookmarkStart w:id="42" w:name="_Toc3576"/>
      <w:bookmarkStart w:id="43" w:name="_Toc15014"/>
      <w:bookmarkStart w:id="44" w:name="_Toc143177696"/>
      <w:bookmarkStart w:id="45" w:name="_Toc13048"/>
      <w:bookmarkStart w:id="46" w:name="_Toc14091"/>
      <w:bookmarkStart w:id="47" w:name="_Toc23324"/>
      <w:r>
        <w:rPr>
          <w:rFonts w:hint="eastAsia" w:ascii="宋体" w:hAnsi="宋体" w:eastAsia="宋体" w:cs="宋体"/>
          <w:color w:val="auto"/>
          <w:highlight w:val="none"/>
        </w:rPr>
        <w:t>第三章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投标人须知</w:t>
      </w:r>
      <w:bookmarkEnd w:id="38"/>
      <w:bookmarkEnd w:id="39"/>
      <w:bookmarkEnd w:id="40"/>
      <w:bookmarkEnd w:id="41"/>
      <w:bookmarkEnd w:id="42"/>
      <w:bookmarkEnd w:id="43"/>
      <w:bookmarkEnd w:id="44"/>
      <w:bookmarkEnd w:id="45"/>
      <w:bookmarkEnd w:id="46"/>
      <w:bookmarkEnd w:id="47"/>
    </w:p>
    <w:p w14:paraId="28BA263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一、总则</w:t>
      </w:r>
    </w:p>
    <w:p w14:paraId="194173B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1、适用范围</w:t>
      </w:r>
    </w:p>
    <w:p w14:paraId="5AD04F0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1.1适用于招标文件载明项目的采购活动（以下简称：“本次采购活动”）。</w:t>
      </w:r>
    </w:p>
    <w:p w14:paraId="242F072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2、定义</w:t>
      </w:r>
    </w:p>
    <w:p w14:paraId="163CA01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2.1“采购标的”指招标文件载明的需要采购的货物或服务。</w:t>
      </w:r>
    </w:p>
    <w:p w14:paraId="0592919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2.2“潜在投标人”指按照招标文件第一章第7条规定获取招标文件且有意向参加本项目投标的供应商。</w:t>
      </w:r>
    </w:p>
    <w:p w14:paraId="40A6C7D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2.3“投标人”指按照招标文件第一章第7条规定获取招标文件并参加本项目投标的供应商。</w:t>
      </w:r>
    </w:p>
    <w:p w14:paraId="23D3545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2.4“单位负责人”指单位法定代表人或法律、法规规定代表单位行使职权的主要负责人。</w:t>
      </w:r>
    </w:p>
    <w:p w14:paraId="543E176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2.5“投标人代表”指投标人的单位负责人或“单位负责人授权书”中载明的接受授权方。</w:t>
      </w:r>
    </w:p>
    <w:p w14:paraId="6542165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二、投标人</w:t>
      </w:r>
    </w:p>
    <w:p w14:paraId="1E5AEC6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3、合格投标人</w:t>
      </w:r>
    </w:p>
    <w:p w14:paraId="3D78DDD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3.1一般规定</w:t>
      </w:r>
    </w:p>
    <w:p w14:paraId="57BA6A3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（1）投标人应遵守采购文件的规定，同时还应遵守有关法律、法规和规章的强制性规定。</w:t>
      </w:r>
    </w:p>
    <w:p w14:paraId="4768A52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（2）投标人的资格要求：详见招标文件第一章。</w:t>
      </w:r>
    </w:p>
    <w:p w14:paraId="4900097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3.2若本项目接受联合体投标且投标人为联合体，则联合体各方应遵守本章第3.1条规定，同时还应遵守下列规定：</w:t>
      </w:r>
    </w:p>
    <w:p w14:paraId="1ADB42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（1）联合体各方应提交联合体协议，联合体协议应符合招标文件规定。</w:t>
      </w:r>
    </w:p>
    <w:p w14:paraId="5D77210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（2）联合体各方不得再单独参加或与其他供应商另外组成联合体参加同一合同项下的投标。</w:t>
      </w:r>
    </w:p>
    <w:p w14:paraId="34AE28E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（3）联合体各方应共同与采购人签订采购合同，就采购合同约定的事项对采购人承担连带责任。</w:t>
      </w:r>
    </w:p>
    <w:p w14:paraId="2995E9C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8CCE4D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（5）联合体一方放弃中标的，视为联合体整体放弃中标，联合体各方承担连带责任。</w:t>
      </w:r>
    </w:p>
    <w:p w14:paraId="54E3302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（6）如本项目不接受联合体投标而投标人为联合体的，或者本项目接受联合体投标但投标人组成的联合体不符合本章第3.2条规定的，投标无效。</w:t>
      </w:r>
    </w:p>
    <w:p w14:paraId="741FBD8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4、投标费用</w:t>
      </w:r>
    </w:p>
    <w:p w14:paraId="6697944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4.1除招标文件另有规定外，投标人应自行承担其参加本项目投标所涉及的一切费用。</w:t>
      </w:r>
    </w:p>
    <w:p w14:paraId="2927DFD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三、招标</w:t>
      </w:r>
    </w:p>
    <w:p w14:paraId="0BB8D6D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5、招标文件</w:t>
      </w:r>
    </w:p>
    <w:p w14:paraId="20A72E7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5.1招标文件由下述部分组成：</w:t>
      </w:r>
    </w:p>
    <w:p w14:paraId="57A8656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（1）投标邀请</w:t>
      </w:r>
    </w:p>
    <w:p w14:paraId="7D1AA5D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（2）投标人须知前附表（表1、2）</w:t>
      </w:r>
    </w:p>
    <w:p w14:paraId="084BF07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（3）投标人须知</w:t>
      </w:r>
    </w:p>
    <w:p w14:paraId="1E5EF64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（4）资格审查与评标</w:t>
      </w:r>
    </w:p>
    <w:p w14:paraId="726595B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（5）招标内容及要求</w:t>
      </w:r>
    </w:p>
    <w:p w14:paraId="32946D6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（6）采购合同（参考文本）</w:t>
      </w:r>
    </w:p>
    <w:p w14:paraId="3ADB437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（7）投标文件格式</w:t>
      </w:r>
    </w:p>
    <w:p w14:paraId="4D17358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（8）按照招标文件规定作为招标文件组成部分的其他内容（若有）</w:t>
      </w:r>
    </w:p>
    <w:p w14:paraId="45F573F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5.2招标文件的澄清或修改</w:t>
      </w:r>
    </w:p>
    <w:p w14:paraId="3C9A10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（1）福建立勤项目管理有限公司可对已发出的招标文件进行必要的澄清或修改，但不得对招标文件载明的采购标的和投标人的资格要求进行改变。</w:t>
      </w:r>
    </w:p>
    <w:p w14:paraId="20510A0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除本章第5.2条第（3）款规定情形外，澄清或修改的内容可能影响投标文件编制的，福建立勤项目管理有限公司将在投标截止时间至少15个日历日前，在招标文件载明的指定媒体以更正公告的形式发布澄清或修改的内容。不足15个日历日的，福建立勤项目管理有限公司将顺延投标截止时间及开标时间，福建立勤项目管理有限公司和投标人受原投标截止时间及开标时间制约的所有权利和义务均延长至新的投标截止时间及开标时间。</w:t>
      </w:r>
    </w:p>
    <w:p w14:paraId="2CCD76B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（3）澄清或修改的内容可能改变招标文件载明的采购标的和投标人的资格要求的，本次采购活动结束，福建立勤项目管理有限公司将依法组织后续采购活动（包括但不限于：重新招标、采用其他方式采购等）。</w:t>
      </w:r>
    </w:p>
    <w:p w14:paraId="49CB863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6、现场考察或开标前答疑会</w:t>
      </w:r>
    </w:p>
    <w:p w14:paraId="101CEDE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6.1是否组织现场考察或召开开标前答疑会：详见招标文件第二章。</w:t>
      </w:r>
    </w:p>
    <w:p w14:paraId="3E9DE49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7、更正公告</w:t>
      </w:r>
    </w:p>
    <w:p w14:paraId="6B68993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7.1若福建立勤项目管理有限公司发布更正公告，则更正公告及其所发布的内容或信息（包括但不限于：招标文件的澄清或修改、现场考察或答疑会的有关事宜等）作为招标文件组成部分，对投标人具有约束力。</w:t>
      </w:r>
    </w:p>
    <w:p w14:paraId="7FC060A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7.2福建立勤项目管理有限公司并以书面形式通知所有获取采购文件的潜在供应商。</w:t>
      </w:r>
    </w:p>
    <w:p w14:paraId="0055E3C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8、终止公告</w:t>
      </w:r>
    </w:p>
    <w:p w14:paraId="6751B06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8.1若出现因重大变故导致采购任务取消情形，福建立勤项目管理有限公司可终止招标并发布终止公告。</w:t>
      </w:r>
    </w:p>
    <w:p w14:paraId="1252C16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8.2福建立勤项目管理有限公司并以书面形式通知所有获取采购文件的潜在供应商。</w:t>
      </w:r>
    </w:p>
    <w:p w14:paraId="039A5F9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四、投标</w:t>
      </w:r>
    </w:p>
    <w:p w14:paraId="34475E7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9、投标</w:t>
      </w:r>
    </w:p>
    <w:p w14:paraId="3A04560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9.1投标人可对招标文件载明的全部或部分采购包进行投标。</w:t>
      </w:r>
    </w:p>
    <w:p w14:paraId="670E809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9.2投标人应对同一个采购包内的所有内容进行完整投标，否则投标无效。</w:t>
      </w:r>
    </w:p>
    <w:p w14:paraId="51ACEA9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9.3投标人代表只能接受一个投标人的授权参加投标，否则投标无效。</w:t>
      </w:r>
    </w:p>
    <w:p w14:paraId="79E3FAC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9.4单位负责人为同一人或存在直接控股、管理关系的不同供应商，不得同时参加同一合同项下的投标，否则投标无效。</w:t>
      </w:r>
    </w:p>
    <w:p w14:paraId="5769DB3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0BAC23E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1EA621F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9.7有下列情形之一的，视为投标人串通投标，其投标无效：</w:t>
      </w:r>
    </w:p>
    <w:p w14:paraId="61EAF1A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（1）不同投标人的投标文件由同一单位或个人编制；</w:t>
      </w:r>
    </w:p>
    <w:p w14:paraId="20BAFCD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（2）不同投标人委托同一单位或个人办理投标事宜；</w:t>
      </w:r>
    </w:p>
    <w:p w14:paraId="4DF9CB8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（3）不同投标人的投标文件载明的项目管理成员或联系人员为同一人；</w:t>
      </w:r>
    </w:p>
    <w:p w14:paraId="02A58E3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（4）不同投标人的投标文件异常一致或投标报价呈规律性差异；</w:t>
      </w:r>
    </w:p>
    <w:p w14:paraId="7413FB2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（5）不同投标人的投标文件相互混装；</w:t>
      </w:r>
    </w:p>
    <w:p w14:paraId="0B739D9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（6）不同投标人的投标保证金从同一单位或个人的账户转出；</w:t>
      </w:r>
    </w:p>
    <w:p w14:paraId="49ADA22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（7）有关法律、法规和规章及招标文件规定的其他串通投标情形。</w:t>
      </w:r>
    </w:p>
    <w:p w14:paraId="72F4B2D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10、投标文件</w:t>
      </w:r>
    </w:p>
    <w:p w14:paraId="3342615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10.1投标文件的编制</w:t>
      </w:r>
    </w:p>
    <w:p w14:paraId="10F7966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（1）投标人应先仔细阅读招标文件的全部内容后，再进行投标文件的编制。</w:t>
      </w:r>
    </w:p>
    <w:p w14:paraId="4D084E4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（2）投标文件应按照本章第10.2条规定编制其组成部分。</w:t>
      </w:r>
    </w:p>
    <w:p w14:paraId="586C057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（3）投标文件应满足招标文件提出的实质性要求和条件，并保证其所提交的全部资料是不可割离且真实、有效、准确、完整和不具有任何误导性的，否则造成不利后果由投标人承担责任。</w:t>
      </w:r>
    </w:p>
    <w:p w14:paraId="617CB00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10.2投标文件由下述部分组成：</w:t>
      </w:r>
    </w:p>
    <w:p w14:paraId="21A5B55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（1）资格及资信证明部分</w:t>
      </w:r>
    </w:p>
    <w:p w14:paraId="2AD7988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①投标函</w:t>
      </w:r>
    </w:p>
    <w:p w14:paraId="432A4DF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②投标人的资格及资信证明文件</w:t>
      </w:r>
    </w:p>
    <w:p w14:paraId="35EA8AD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③投标保证金</w:t>
      </w:r>
    </w:p>
    <w:p w14:paraId="4479415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（2）报价部分</w:t>
      </w:r>
    </w:p>
    <w:p w14:paraId="45F980B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①开标一览表</w:t>
      </w:r>
    </w:p>
    <w:p w14:paraId="1A3B705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②投标分项报价表</w:t>
      </w:r>
    </w:p>
    <w:p w14:paraId="3DB5D8D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③招标文件规定的价格扣除证明材料（若有）</w:t>
      </w:r>
    </w:p>
    <w:p w14:paraId="7701F2F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（3）技术商务部分</w:t>
      </w:r>
    </w:p>
    <w:p w14:paraId="2093381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①标的说明一览表</w:t>
      </w:r>
    </w:p>
    <w:p w14:paraId="54FFB6B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②技术和服务要求响应表</w:t>
      </w:r>
    </w:p>
    <w:p w14:paraId="6EFFF3C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③商务条件响应表</w:t>
      </w:r>
    </w:p>
    <w:p w14:paraId="189AF0A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④投标人提交的其他资料（若有）</w:t>
      </w:r>
    </w:p>
    <w:p w14:paraId="5E05552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⑤招标文件规定作为投标文件组成部分的其他内容（若有）</w:t>
      </w:r>
    </w:p>
    <w:p w14:paraId="744722F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10.3投标文件的语言</w:t>
      </w:r>
    </w:p>
    <w:p w14:paraId="1AD851A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（1）除招标文件另有规定外，投标文件应使用中文文本，若有不同文本，以中文文本为准。</w:t>
      </w:r>
    </w:p>
    <w:p w14:paraId="75BDE1E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CEA7C2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10.4投标文件的份数：详见招标文件第二章。</w:t>
      </w:r>
    </w:p>
    <w:p w14:paraId="5A25C42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10.5投标文件的格式</w:t>
      </w:r>
    </w:p>
    <w:p w14:paraId="2F24DAA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（1）除招标文件另有规定外，投标文件应使用招标文件第七章规定的格式。</w:t>
      </w:r>
    </w:p>
    <w:p w14:paraId="42A6534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（2）除招标文件另有规定外，投标文件应使用不能擦去的墨料或墨水打印、书写或复印。</w:t>
      </w:r>
    </w:p>
    <w:p w14:paraId="37A04F6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（3）除招标文件另有规定外，投标文件应使用人民币作为计量货币。</w:t>
      </w:r>
    </w:p>
    <w:p w14:paraId="13FBF42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（4）除招标文件另有规定外，签署、盖章应遵守下列规定：</w:t>
      </w:r>
    </w:p>
    <w:p w14:paraId="286B843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①投标文件应加盖投标人的单位公章。若投标人代表为单位授权的委托代理人，应提供“单位授权书”。</w:t>
      </w:r>
    </w:p>
    <w:p w14:paraId="08941D1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②投标文件应没有涂改或行间插字，除非这些改动是根据福建立勤项目管理有限公司的指示进行的，或是为改正投标人造成的应修改的错误而进行的。若有前述改动，应按照下列规定之一对改动处进行处理：</w:t>
      </w:r>
    </w:p>
    <w:p w14:paraId="3AE6847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a.投标人代表签字确认；</w:t>
      </w:r>
    </w:p>
    <w:p w14:paraId="0B1620E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b.加盖投标人的单位公章或校正章。</w:t>
      </w:r>
    </w:p>
    <w:p w14:paraId="1279BD2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10.6投标报价</w:t>
      </w:r>
    </w:p>
    <w:p w14:paraId="013FF90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（1）投标报价</w:t>
      </w:r>
      <w:r>
        <w:rPr>
          <w:rFonts w:hint="eastAsia" w:ascii="宋体" w:hAnsi="宋体" w:eastAsia="宋体" w:cs="宋体"/>
          <w:b w:val="0"/>
          <w:bCs/>
          <w:color w:val="auto"/>
          <w:sz w:val="24"/>
          <w:szCs w:val="24"/>
          <w:highlight w:val="none"/>
          <w:lang w:eastAsia="zh-CN"/>
        </w:rPr>
        <w:t>低于最低</w:t>
      </w:r>
      <w:r>
        <w:rPr>
          <w:rFonts w:hint="eastAsia" w:ascii="宋体" w:hAnsi="宋体" w:eastAsia="宋体" w:cs="宋体"/>
          <w:b w:val="0"/>
          <w:bCs/>
          <w:color w:val="auto"/>
          <w:sz w:val="24"/>
          <w:szCs w:val="24"/>
          <w:highlight w:val="none"/>
        </w:rPr>
        <w:t>限价将导致投标无效。</w:t>
      </w:r>
    </w:p>
    <w:p w14:paraId="36CA7D8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最低</w:t>
      </w:r>
      <w:r>
        <w:rPr>
          <w:rFonts w:hint="eastAsia" w:ascii="宋体" w:hAnsi="宋体" w:eastAsia="宋体" w:cs="宋体"/>
          <w:b w:val="0"/>
          <w:bCs/>
          <w:color w:val="auto"/>
          <w:sz w:val="24"/>
          <w:szCs w:val="24"/>
          <w:highlight w:val="none"/>
        </w:rPr>
        <w:t>限价由采购人根据价格测算情况合理设定。</w:t>
      </w:r>
    </w:p>
    <w:p w14:paraId="1779182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（3）除招标文件另有规定外，投标文件不能出现任何选择性的投标报价，即每一个采购包和品目号的采购标的都只能有一个投标报价。任何选择性的投标报价将导致投标无效。</w:t>
      </w:r>
    </w:p>
    <w:p w14:paraId="18E4633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10.7分包</w:t>
      </w:r>
    </w:p>
    <w:p w14:paraId="5120108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（1）是否允许中标人将本项目的非主体、非关键性工作进行分包：详见招标文件第二章。</w:t>
      </w:r>
    </w:p>
    <w:p w14:paraId="1AB4176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3B443E3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（3）招标文件允许中标人将非主体、非关键性工作进行分包的项目，有下列情形之一的，中标人不得分包：</w:t>
      </w:r>
    </w:p>
    <w:p w14:paraId="3D48F70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①投标文件中未载明分包承担主体；</w:t>
      </w:r>
    </w:p>
    <w:p w14:paraId="5A86AF4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②投标文件载明的分包承担主体不具备相应资质条件；</w:t>
      </w:r>
    </w:p>
    <w:p w14:paraId="4005B76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③投标文件载明的分包承担主体拟再次分包；</w:t>
      </w:r>
    </w:p>
    <w:p w14:paraId="636A069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④享受中小企业扶持政策获得采购合同的，小微企业不得将合同分包给大中型企业，中型企业不得将合同分包给大型企业。</w:t>
      </w:r>
    </w:p>
    <w:p w14:paraId="29C10D2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10.8投标有效期</w:t>
      </w:r>
    </w:p>
    <w:p w14:paraId="12A78F1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（1）招标文件载明的投标有效期：详见招标文件第二章。</w:t>
      </w:r>
    </w:p>
    <w:p w14:paraId="21469CE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（2）投标文件承诺的投标有效期不得少于招标文件载明的投标有效期，否则投标无效。</w:t>
      </w:r>
    </w:p>
    <w:p w14:paraId="004B459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根据本次采购活动的需要，福建立勤项目管理有限公司可于投标有效期届满之前书面要求投标人延长投标有效期，投标人应在福建立勤项目管理有限公司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700D203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10.9投标保证金</w:t>
      </w:r>
    </w:p>
    <w:p w14:paraId="028496C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（1）投标保证金作为投标人按照招标文件规定履行相应投标责任、义务的约束及担保。</w:t>
      </w:r>
    </w:p>
    <w:p w14:paraId="30BC78C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（2）投标人以电子保函形式提交投标保证金的，保函的有效期应等于或长于投标文件承诺的投标有效期，否则投标无效。</w:t>
      </w:r>
    </w:p>
    <w:p w14:paraId="381C041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（3）提交</w:t>
      </w:r>
    </w:p>
    <w:p w14:paraId="51042A7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①投标人以汇款形式缴纳投标保证金的，应从其银行账户按照下列方式：公对公转账方式向招标文件载明的投标保证金账户提交投标保证金，具体金额详见招标文件第一章。</w:t>
      </w:r>
    </w:p>
    <w:p w14:paraId="214B73F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②投标人以电子保函形式提交投标保证金的，在投标截止时间之前将电子保函文件放入投标文件中，否则视为未提交投标保证金。</w:t>
      </w:r>
    </w:p>
    <w:p w14:paraId="4B5CDA9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③其他形式：无</w:t>
      </w:r>
    </w:p>
    <w:p w14:paraId="6ABD0A8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④若本项目接受联合体投标且投标人为联合体，则联合体中的牵头方应按照本章第10.9条第（3）款第①、②、③点规定提交投标保证金。</w:t>
      </w:r>
    </w:p>
    <w:p w14:paraId="5E08B9C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※除招标文件另有规定外，未按照上述规定提交投标保证金将导致资格审查不合格。</w:t>
      </w:r>
    </w:p>
    <w:p w14:paraId="53B3687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（4）退还</w:t>
      </w:r>
    </w:p>
    <w:p w14:paraId="113BC43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①在投标截止时间前撤回已提交的投标文件的投标人，其投标保证金将在福建立勤项目管理有限公司收到投标人书面撤回通知之日起5个工作日内退回原账户。</w:t>
      </w:r>
    </w:p>
    <w:p w14:paraId="7DE2BF0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②未中标人的投标保证金将在中标通知书发出之日起5个工作日内退回原账户。</w:t>
      </w:r>
    </w:p>
    <w:p w14:paraId="467EE99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③中标人的投标保证金将在采购合同签订之日起5个工作日内退回原账户。</w:t>
      </w:r>
    </w:p>
    <w:p w14:paraId="09075F9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④终止招标的，福建立勤项目管理有限公司将在终止公告发布之日起5个工作日内退回已收取的投标保证金及其在银行产生的孳息。</w:t>
      </w:r>
    </w:p>
    <w:p w14:paraId="448854A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⑤除招标文件另有规定外，质疑或投诉涉及的投标人，若投标保证金尚未退还，则待质疑或投诉处理完毕后不计利息原额退还。</w:t>
      </w:r>
    </w:p>
    <w:p w14:paraId="69BD108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※本章第10.9条第（4）款第①、②、③点规定的投标保证金退还时限不包括因投标人自身原因导致无法及时退还而增加的时间。</w:t>
      </w:r>
    </w:p>
    <w:p w14:paraId="288CD81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75D127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（6）有下列情形之一的，投标保证金将不予退还或通过投标保函进行索赔：</w:t>
      </w:r>
    </w:p>
    <w:p w14:paraId="1C9EDC7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①投标人串通投标；</w:t>
      </w:r>
    </w:p>
    <w:p w14:paraId="4AB58EA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②投标人提供虚假材料；</w:t>
      </w:r>
    </w:p>
    <w:p w14:paraId="7AA23F9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③投标人采取不正当手段诋毁、排挤其他投标人；</w:t>
      </w:r>
    </w:p>
    <w:p w14:paraId="02298B1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④投标截止时间后，投标人在投标有效期内撤销投标文件；</w:t>
      </w:r>
    </w:p>
    <w:p w14:paraId="0D9776E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⑤招标文件规定的其他不予退还情形；</w:t>
      </w:r>
    </w:p>
    <w:p w14:paraId="7147A90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⑥中标人有下列情形之一的：</w:t>
      </w:r>
    </w:p>
    <w:p w14:paraId="4613F50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a.除不可抗力外，因中标人自身原因未在中标通知书要求的期限内与采购人签订采购合同；</w:t>
      </w:r>
    </w:p>
    <w:p w14:paraId="119AF87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b.未按照招标文件、投标文件的约定签订采购合同或提交履约保证金。</w:t>
      </w:r>
    </w:p>
    <w:p w14:paraId="1392730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※若上述投标保证金不予退还情形给采购人（采购代理机构）造成损失，则投标人还要承担相应的赔偿责任。</w:t>
      </w:r>
    </w:p>
    <w:p w14:paraId="46B8D49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10.10投标文件的提交</w:t>
      </w:r>
    </w:p>
    <w:p w14:paraId="1E4F492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shd w:val="clear" w:color="FFFFFF" w:fill="D9D9D9"/>
        </w:rPr>
      </w:pPr>
      <w:r>
        <w:rPr>
          <w:rFonts w:hint="eastAsia" w:ascii="宋体" w:hAnsi="宋体" w:eastAsia="宋体" w:cs="宋体"/>
          <w:b w:val="0"/>
          <w:bCs/>
          <w:color w:val="auto"/>
          <w:sz w:val="24"/>
          <w:szCs w:val="24"/>
          <w:highlight w:val="none"/>
        </w:rPr>
        <w:t>（1）一个投标人只能提交一个投标文件，并按照招标文件第一章规定递交，</w:t>
      </w:r>
      <w:r>
        <w:rPr>
          <w:rFonts w:hint="eastAsia" w:ascii="宋体" w:hAnsi="宋体" w:eastAsia="宋体" w:cs="宋体"/>
          <w:b w:val="0"/>
          <w:bCs/>
          <w:color w:val="auto"/>
          <w:sz w:val="24"/>
          <w:szCs w:val="24"/>
          <w:highlight w:val="none"/>
          <w:shd w:val="clear" w:color="FFFFFF" w:fill="D9D9D9"/>
        </w:rPr>
        <w:t>投标文件未密封将导致投标被拒绝。</w:t>
      </w:r>
    </w:p>
    <w:p w14:paraId="31B402B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10.11投标文件的补充、修改或撤回</w:t>
      </w:r>
    </w:p>
    <w:p w14:paraId="2FB30F7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（1）投标截止时间前，投标人可对所提交的投标文件进行补充、修改或撤回，并书面通知福建立勤项目管理有限公司。</w:t>
      </w:r>
    </w:p>
    <w:p w14:paraId="69276C6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（2）补充、修改的内容应按照本章第10.5条第（4）款规定进行签署、盖章，并按照本章第10.10条规定提交，否则将被拒收。</w:t>
      </w:r>
    </w:p>
    <w:p w14:paraId="715911C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※按照上述规定提交的补充、修改内容作为投标文件组成部分。</w:t>
      </w:r>
    </w:p>
    <w:p w14:paraId="4E8FF62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10.12除招标文件另有规定外，有下列情形之一的，投标无效：</w:t>
      </w:r>
    </w:p>
    <w:p w14:paraId="35B0B54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（1）投标文件未按照招标文件要求签署、盖章；</w:t>
      </w:r>
    </w:p>
    <w:p w14:paraId="2FFEB8E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（2）不符合招标文件中规定的资格要求；</w:t>
      </w:r>
    </w:p>
    <w:p w14:paraId="0315FF9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（3）投标报价</w:t>
      </w:r>
      <w:r>
        <w:rPr>
          <w:rFonts w:hint="eastAsia" w:ascii="宋体" w:hAnsi="宋体" w:eastAsia="宋体" w:cs="宋体"/>
          <w:b w:val="0"/>
          <w:bCs/>
          <w:color w:val="auto"/>
          <w:sz w:val="24"/>
          <w:szCs w:val="24"/>
          <w:highlight w:val="none"/>
          <w:lang w:val="en-US" w:eastAsia="zh-CN"/>
        </w:rPr>
        <w:t>低于</w:t>
      </w:r>
      <w:r>
        <w:rPr>
          <w:rFonts w:hint="eastAsia" w:ascii="宋体" w:hAnsi="宋体" w:eastAsia="宋体" w:cs="宋体"/>
          <w:b w:val="0"/>
          <w:bCs/>
          <w:color w:val="auto"/>
          <w:sz w:val="24"/>
          <w:szCs w:val="24"/>
          <w:highlight w:val="none"/>
        </w:rPr>
        <w:t>招标文件中规定的预算金额或</w:t>
      </w:r>
      <w:r>
        <w:rPr>
          <w:rFonts w:hint="eastAsia" w:ascii="宋体" w:hAnsi="宋体" w:eastAsia="宋体" w:cs="宋体"/>
          <w:b w:val="0"/>
          <w:bCs/>
          <w:color w:val="auto"/>
          <w:sz w:val="24"/>
          <w:szCs w:val="24"/>
          <w:highlight w:val="none"/>
          <w:lang w:eastAsia="zh-CN"/>
        </w:rPr>
        <w:t>最低</w:t>
      </w:r>
      <w:r>
        <w:rPr>
          <w:rFonts w:hint="eastAsia" w:ascii="宋体" w:hAnsi="宋体" w:eastAsia="宋体" w:cs="宋体"/>
          <w:b w:val="0"/>
          <w:bCs/>
          <w:color w:val="auto"/>
          <w:sz w:val="24"/>
          <w:szCs w:val="24"/>
          <w:highlight w:val="none"/>
        </w:rPr>
        <w:t>限价</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或分项报价低于</w:t>
      </w:r>
      <w:r>
        <w:rPr>
          <w:rFonts w:hint="eastAsia" w:ascii="宋体" w:hAnsi="宋体" w:eastAsia="宋体" w:cs="宋体"/>
          <w:bCs/>
          <w:color w:val="auto"/>
          <w:sz w:val="24"/>
          <w:szCs w:val="24"/>
          <w:highlight w:val="none"/>
        </w:rPr>
        <w:t>最低单价</w:t>
      </w:r>
      <w:r>
        <w:rPr>
          <w:rFonts w:hint="eastAsia" w:ascii="宋体" w:hAnsi="宋体" w:eastAsia="宋体" w:cs="宋体"/>
          <w:b w:val="0"/>
          <w:bCs/>
          <w:color w:val="auto"/>
          <w:sz w:val="24"/>
          <w:szCs w:val="24"/>
          <w:highlight w:val="none"/>
        </w:rPr>
        <w:t>；</w:t>
      </w:r>
    </w:p>
    <w:p w14:paraId="2F2AFDA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（4）投标文件含有采购人不能接受的附加条件；</w:t>
      </w:r>
    </w:p>
    <w:p w14:paraId="2F7564C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（5）有关法律、法规和规章及招标文件规定的其他无效情形。</w:t>
      </w:r>
    </w:p>
    <w:p w14:paraId="4AA6176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10.13投标人在递交投标文件后，可以向投标文件接收单位（接收人）要求出具投标文件签收回执，未在投标文件截止当日要求出具回执的，视为放弃领取回执。如需出具回执，请投标人按照招标文件的格式要求提前准备好《投标文件签收回执》。</w:t>
      </w:r>
    </w:p>
    <w:p w14:paraId="6F45223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五、开标</w:t>
      </w:r>
    </w:p>
    <w:p w14:paraId="5D69471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11、开标</w:t>
      </w:r>
    </w:p>
    <w:p w14:paraId="08EA65A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11.1福建立勤项目管理有限公司将在招标文件载明的开标时间及地点主持召开开标会，并邀请投标人参加。</w:t>
      </w:r>
    </w:p>
    <w:p w14:paraId="1FBA776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11.2开标会的主持人、唱标人、记录人及其他工作人员（若有）均由福建立勤项目管理有限公司派出，现场监督人员（若有）可由有关方面派出。</w:t>
      </w:r>
    </w:p>
    <w:p w14:paraId="1E52C2F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11.3本项目的开标环节，投标人可自行选择到开标现场参加开标会或者不参加开标会。如因投标人自身原因造成无法正常参与开标过程的，不利后果由投标人自行承担。</w:t>
      </w:r>
    </w:p>
    <w:p w14:paraId="4D28894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11.4开标会应遵守下列规定：</w:t>
      </w:r>
    </w:p>
    <w:p w14:paraId="7C74F6F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（1）首先由主持人宣布开标会须知，然后由投标人或者其推选的代表检查投标文件的密封情况，对符合密封要求的投标文件当场逐一拆封。</w:t>
      </w:r>
    </w:p>
    <w:p w14:paraId="2426CD2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唱标时，唱标人将依次按照提交投标文件时间的先后顺序（或者逆顺序）宣布“投标人名称”、“各投标人关于投标文件补充、修改或撤回的书面通知（若有）”、“各投标人的投标报价”和招标文件规定的需要宣布的其他内容（包括但不限于：开标一览表中的内容、唱标人认为需要宣布的内容等）。</w:t>
      </w:r>
    </w:p>
    <w:p w14:paraId="3DB91B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（3）唱标结束后，参加现场开标会的投标人代表应对开标记录进行签字确认。</w:t>
      </w:r>
    </w:p>
    <w:p w14:paraId="004CC1A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投标人代表对开标过程和开标记录有疑义，以及认为采购人（采购代理机构）相关工作人员有需要回避情形的，应当场提出询问或回避申请。投标人代表未按规定提出疑义又拒绝对开标记录签字的，视为投标人对开标过程和开标记录予以认可。</w:t>
      </w:r>
    </w:p>
    <w:p w14:paraId="54353B2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（5）若投标人未到开标现场参加开标会，视同认可开标结果。</w:t>
      </w:r>
    </w:p>
    <w:p w14:paraId="12CBDCB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若出现本章第11.4条第（3）、（4）、（5）款规定情形之一，则投标人不得在开标会后就开标过程和开标记录涉及或可能涉及的有关事由（包括但不限于：“投标报价”、“投标文件的格式”、“投标文件的提交”、“投标文件的补充、修改或撤回”等）向福建立勤项目管理有限公司提出任何疑义或要求（包括质疑）。</w:t>
      </w:r>
    </w:p>
    <w:p w14:paraId="674112E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11.5投标截止时间后，参加投标的投标人不足三家的，不进行开标。同时，本次采购活动结束，福建立勤项目管理有限公司将依法组织后续采购活动（包括但不限于：重新招标、采用其他方式采购等）。</w:t>
      </w:r>
    </w:p>
    <w:p w14:paraId="0200944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11.6投标截止时间后撤销投标的处理</w:t>
      </w:r>
    </w:p>
    <w:p w14:paraId="361C862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投标截止时间后，投标人在投标有效期内撤销投标的，其撤销投标的行为无效。</w:t>
      </w:r>
    </w:p>
    <w:p w14:paraId="18BD002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六、中标与采购合同</w:t>
      </w:r>
    </w:p>
    <w:p w14:paraId="7D4CB9F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12、中标</w:t>
      </w:r>
    </w:p>
    <w:p w14:paraId="0AFE289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12.1本项目推荐的中标候选人家数：详见招标文件第二章。</w:t>
      </w:r>
    </w:p>
    <w:p w14:paraId="561C814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12.2本项目中标人的确定：详见招标文件第二章。</w:t>
      </w:r>
    </w:p>
    <w:p w14:paraId="33E2D51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12.3中标公告</w:t>
      </w:r>
    </w:p>
    <w:p w14:paraId="54954C9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（1）中标人确定之日起2个工作日内，福建立勤项目管理有限公司将在招标文件载明的指定媒体以中标公告的形式发布中标结果。</w:t>
      </w:r>
    </w:p>
    <w:p w14:paraId="30A816B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（2）中标公告的公告期限为1个工作日。</w:t>
      </w:r>
    </w:p>
    <w:p w14:paraId="0CFD624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12.4中标通知书</w:t>
      </w:r>
    </w:p>
    <w:p w14:paraId="52C9037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（1）中标公告发布的同时，福建立勤项目管理有限公司将向中标人发出中标通知书。</w:t>
      </w:r>
    </w:p>
    <w:p w14:paraId="67A65AE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（2）中标通知书发出后，采购人不得违法改变中标结果，中标人无正当理由不得放弃中标。</w:t>
      </w:r>
    </w:p>
    <w:p w14:paraId="5822E88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13、采购合同</w:t>
      </w:r>
    </w:p>
    <w:p w14:paraId="5FC5992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13.1签订采购合同应遵守规定，不得对招标文件确定的事项和中标人的投标文件作实质性修改。采购人不得向中标人提出任何不合理的要求作为采购合同的签订条件。</w:t>
      </w:r>
    </w:p>
    <w:p w14:paraId="28E1B5D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13.2签订时限：详见须知前附表的13.2。</w:t>
      </w:r>
    </w:p>
    <w:p w14:paraId="65D39E1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13.3采购合同的履行、违约责任和解决争议的方法等适用民法典。</w:t>
      </w:r>
    </w:p>
    <w:p w14:paraId="1FB4EDD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13.4采购人与中标人应根据采购合同的约定依法履行合同义务。</w:t>
      </w:r>
    </w:p>
    <w:p w14:paraId="62FC654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13.5采购合同履行过程中，采购人若需追加与合同标的相同的货物或服务，则追加采购金额不得超过原合同采购金额的10%。</w:t>
      </w:r>
    </w:p>
    <w:p w14:paraId="47B9C8A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13.6中标人在采购合同履行过程中应遵守有关法律、法规和规章的强制性规定（即使前述强制性规定有可能在招标文件中未予列明）。</w:t>
      </w:r>
    </w:p>
    <w:p w14:paraId="1A6BC50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七、询问、质疑与投诉</w:t>
      </w:r>
    </w:p>
    <w:p w14:paraId="37AB867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14、询问</w:t>
      </w:r>
    </w:p>
    <w:p w14:paraId="739DE68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14.1潜在投标人或投标人对本次采购活动的有关事项若有疑问，可向福建立勤项目管理有限公司提出询问，福建立勤项目管理有限公司将按规定进行答复。</w:t>
      </w:r>
    </w:p>
    <w:p w14:paraId="4920D3F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15、质疑</w:t>
      </w:r>
    </w:p>
    <w:p w14:paraId="54194DA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15.1针对同一采购程序环节的质疑应在</w:t>
      </w:r>
      <w:r>
        <w:rPr>
          <w:rFonts w:hint="eastAsia" w:ascii="宋体" w:hAnsi="宋体" w:eastAsia="宋体" w:cs="宋体"/>
          <w:b w:val="0"/>
          <w:bCs/>
          <w:color w:val="auto"/>
          <w:sz w:val="24"/>
          <w:szCs w:val="24"/>
          <w:highlight w:val="none"/>
          <w:lang w:eastAsia="zh-CN"/>
        </w:rPr>
        <w:t>规定</w:t>
      </w:r>
      <w:r>
        <w:rPr>
          <w:rFonts w:hint="eastAsia" w:ascii="宋体" w:hAnsi="宋体" w:eastAsia="宋体" w:cs="宋体"/>
          <w:b w:val="0"/>
          <w:bCs/>
          <w:color w:val="auto"/>
          <w:sz w:val="24"/>
          <w:szCs w:val="24"/>
          <w:highlight w:val="none"/>
        </w:rPr>
        <w:t>的时限内一次性提出，对一个项目的不同采购包提出质疑的，应当将各采购包质疑事项集中在一份质疑函中提出，并同时符合下列条件：</w:t>
      </w:r>
    </w:p>
    <w:p w14:paraId="78A7DC4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52D0536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（2）质疑人应按照招标文件第二章规定方式提交质疑函。</w:t>
      </w:r>
    </w:p>
    <w:p w14:paraId="70BCB2C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（3）质疑函应包括下列主要内容：</w:t>
      </w:r>
    </w:p>
    <w:p w14:paraId="7BFF15F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①质疑人的基本信息，至少包括：全称、地址、邮政编码等；</w:t>
      </w:r>
    </w:p>
    <w:p w14:paraId="3B56F7F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②所质疑项目的基本信息，至少包括：项目编号、项目名称等；</w:t>
      </w:r>
    </w:p>
    <w:p w14:paraId="6697B00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③所质疑的具体事项（以下简称：“质疑事项”）；</w:t>
      </w:r>
    </w:p>
    <w:p w14:paraId="17431B9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针对质疑事项提出的明确请求，前述明确请求指质疑人提出质疑的目的以及希望福建立勤项目管理有限公司对其质疑作出的处理结果，如：暂停招标投标活动、修改招标文件、停止或纠正违法违规行为、中标结果无效、废标、重新招标等；</w:t>
      </w:r>
    </w:p>
    <w:p w14:paraId="1D14888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⑤针对质疑事项导致质疑人自身权益受到损害的必要证明材料，至少包括：</w:t>
      </w:r>
    </w:p>
    <w:p w14:paraId="47BED94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a.质疑人代表的身份证明材料：</w:t>
      </w:r>
    </w:p>
    <w:p w14:paraId="7BA3EC8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1D4895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a2若本项目接受自然人投标且质疑人为自然人的，提供本人的身份证复印件。</w:t>
      </w:r>
    </w:p>
    <w:p w14:paraId="26FD08D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b.其他证明材料（即事实依据和必要的法律依据）包括但不限于下列材料：</w:t>
      </w:r>
    </w:p>
    <w:p w14:paraId="70BBE8F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b1所质疑的具体事项是与自己有利害关系的证明材料；</w:t>
      </w:r>
    </w:p>
    <w:p w14:paraId="2CEC0DA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b2质疑函所述事实存在的证明材料，如：采购文件、采购过程或中标结果违法违规或不符合采购文件要求等证明材料；</w:t>
      </w:r>
    </w:p>
    <w:p w14:paraId="6E7EC8B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b3依法应终止采购程序的证明材料；</w:t>
      </w:r>
    </w:p>
    <w:p w14:paraId="5BAABBD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b4应重新采购的证明材料；</w:t>
      </w:r>
    </w:p>
    <w:p w14:paraId="013A90B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b5采购文件、采购过程或中标、成交结果损害自己合法权益的证明材料等；</w:t>
      </w:r>
    </w:p>
    <w:p w14:paraId="2980CF2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0D5308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⑥质疑人代表及其联系方法的信息，至少包括：姓名、手机、电子信箱、邮寄地址等。</w:t>
      </w:r>
    </w:p>
    <w:p w14:paraId="2B14F35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⑦提出质疑的日期。</w:t>
      </w:r>
    </w:p>
    <w:p w14:paraId="53C7ACB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※质疑人为法人或其他组织的，质疑函应由单位负责人或委托代理人签字或盖章，并加盖投标人的单位公章。质疑人为自然人的，质疑函应由本人签字。</w:t>
      </w:r>
    </w:p>
    <w:p w14:paraId="54065B6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15.2对不符合本章第15.1条规定的质疑，将按照下列规定进行处理：</w:t>
      </w:r>
    </w:p>
    <w:p w14:paraId="543EA07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（1）不符合其中第（1）、（2）条规定的，书面告知质疑人不予受理及其理由。</w:t>
      </w:r>
    </w:p>
    <w:p w14:paraId="71A7E3C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（2）不符合其中第（3）条规定的，书面告知质疑人修改、补充后在规定时限内重新提交质疑函。</w:t>
      </w:r>
    </w:p>
    <w:p w14:paraId="464BE56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15.3对符合本章第15.1条规定的质疑，将按照有关规定进行答复。</w:t>
      </w:r>
    </w:p>
    <w:p w14:paraId="0B19C3F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15.4招标文件的质疑：详见招标文件第二章。</w:t>
      </w:r>
    </w:p>
    <w:p w14:paraId="2A5E229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16、投诉</w:t>
      </w:r>
    </w:p>
    <w:p w14:paraId="41559FC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16.1若对质疑答复不满意或质疑答复未在答复期限内作出，质疑人可在答复期限届满之日起15个工作日内按照有关规定向招标文件第二章载明的本项目监督管理部门提起投诉。</w:t>
      </w:r>
    </w:p>
    <w:p w14:paraId="2A43B3A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16.2投诉应有明确的请求和必要的证明材料，投诉的事项不得超出已质疑事项的范围。</w:t>
      </w:r>
    </w:p>
    <w:p w14:paraId="091D3F5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八、采购政策</w:t>
      </w:r>
    </w:p>
    <w:p w14:paraId="6ABBA7D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17、采购政策由财政部根据国家的经济和社会发展政策并会同国家有关部委制定，包括但不限于下列具体政策要求：</w:t>
      </w:r>
    </w:p>
    <w:p w14:paraId="6BA5756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17.1进口产品指通过中国海关报关验放进入中国境内且产自关境外的产品，其中：</w:t>
      </w:r>
    </w:p>
    <w:p w14:paraId="1A08A17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7797D5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（2）凡在海关特殊监管区域内企业生产或加工（包括从境外进口料件）销往境内其他地区的产品，不作为采购项下进口产品。</w:t>
      </w:r>
    </w:p>
    <w:p w14:paraId="5640D48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（3）对从境外进入海关特殊监管区域，再经办理报关手续后从海关特殊监管区进入境内其他地区的产品，认定为进口产品。</w:t>
      </w:r>
    </w:p>
    <w:p w14:paraId="3BBF3A5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（4）招标文件列明不允许或未列明允许进口产品参加投标的，均视为拒绝进口产品参加投标。</w:t>
      </w:r>
    </w:p>
    <w:p w14:paraId="7796EA0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DC25DD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6F8558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（1）中小企业指符合下列条件的中型、小型、微型企业：</w:t>
      </w:r>
    </w:p>
    <w:p w14:paraId="23A36B2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2E4B4C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②符合中小企业划分标准的个体工商户，在政府采购活动中视同中小企业。</w:t>
      </w:r>
    </w:p>
    <w:p w14:paraId="4DC3D96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（2）在采购活动中，供应商提供的货物、工程或者服务符合下列情形的，享受本办法规定的中小企业扶持政策：</w:t>
      </w:r>
    </w:p>
    <w:p w14:paraId="6BD148A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①在货物采购项目中，货物由中小企业制造，即货物由中小企业生产且使用该中小企业商号或者注册商标；</w:t>
      </w:r>
    </w:p>
    <w:p w14:paraId="183C8B0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②在工程采购项目中，工程由中小企业承建，即工程施工单位为中小企业；</w:t>
      </w:r>
    </w:p>
    <w:p w14:paraId="7DA09BA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③在服务采购项目中，服务由中小企业承接，即提供服务的人员为中小企业依照《中华人民共和国劳动合同法》订立劳动合同的从业人员。</w:t>
      </w:r>
    </w:p>
    <w:p w14:paraId="42209CD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在货物采购项目中，供应商提供的货物既有中小企业制造货物，也有大型企业制造货物的，不享受本办法规定的中小企业扶持政策。</w:t>
      </w:r>
    </w:p>
    <w:p w14:paraId="10F9921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以联合体形式参加采购活动，联合体各方均为中小企业的，联合体视同中小企业。其中，联合体各方均为小微企业的，联合体视同小微企业。</w:t>
      </w:r>
    </w:p>
    <w:p w14:paraId="289D0DE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（3）投标人应当按照招标文件明确的采购标的对应行业的划分标准出具中小企业声明函。</w:t>
      </w:r>
    </w:p>
    <w:p w14:paraId="584E1CE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CCBF5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35218E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①监狱企业参加采购活动时，应提供由省级以上监狱管理局、戒毒管理局（含新疆生产建设兵团）出具的属于监狱企业的证明文件。</w:t>
      </w:r>
    </w:p>
    <w:p w14:paraId="75109CC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②监狱企业视同小型、微型企业。</w:t>
      </w:r>
    </w:p>
    <w:p w14:paraId="566D561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（5）残疾人福利性单位指同时符合下列条件的单位：</w:t>
      </w:r>
    </w:p>
    <w:p w14:paraId="5508182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①安置的残疾人占本单位在职职工人数的比例不低于25%（含25%），并且安置的残疾人人数不少于10人（含10人）；</w:t>
      </w:r>
    </w:p>
    <w:p w14:paraId="1B38C47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②依法与安置的每位残疾人签订了一年以上（含一年）的劳动合同或服务协议；</w:t>
      </w:r>
    </w:p>
    <w:p w14:paraId="6872405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③为安置的每位残疾人按月足额缴纳了基本养老保险、基本医疗保险、失业保险、工伤保险和生育保险等社会保险费；</w:t>
      </w:r>
    </w:p>
    <w:p w14:paraId="130C7FE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④通过银行等金融机构向安置的每位残疾人，按月支付了不低于单位所在区县适用的经省级人民政府批准的月最低工资标准的工资；</w:t>
      </w:r>
    </w:p>
    <w:p w14:paraId="2176AB9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⑤提供本单位制造的货物、承担的工程或服务，或提供其他残疾人福利性单位制造的货物（不包括使用非残疾人福利性单位注册商标的货物）。</w:t>
      </w:r>
    </w:p>
    <w:p w14:paraId="631F7F4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A9F241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0FF979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17.4信用记录指由财政部确定的有关网站提供的相关主体信用信息。信用记录的查询及使用应符合财政部文件（财库[2016]125号）规定。</w:t>
      </w:r>
    </w:p>
    <w:p w14:paraId="59CDBA7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17.5为落实采购政策需满足的要求：详见招标文件第一章。</w:t>
      </w:r>
    </w:p>
    <w:p w14:paraId="7DFCA7A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九、本项目的有关信息</w:t>
      </w:r>
    </w:p>
    <w:p w14:paraId="4C9ECFA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73DD703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18.1指定媒体：详见招标文件第二章。</w:t>
      </w:r>
    </w:p>
    <w:p w14:paraId="1120233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18.2本项目的潜在投标人或投标人应随时关注指定媒体，否则产生不利后果由其自行承担。</w:t>
      </w:r>
    </w:p>
    <w:p w14:paraId="2AA2F22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十、其他事项</w:t>
      </w:r>
    </w:p>
    <w:p w14:paraId="6603D84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19、其他事项：</w:t>
      </w:r>
    </w:p>
    <w:p w14:paraId="21AA234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3F08DB6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19.2其他：详见招标文件第二章。</w:t>
      </w:r>
    </w:p>
    <w:p w14:paraId="01A5419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9C119A9">
      <w:pPr>
        <w:pStyle w:val="18"/>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highlight w:val="none"/>
        </w:rPr>
      </w:pPr>
      <w:bookmarkStart w:id="48" w:name="_Toc143178227"/>
      <w:bookmarkStart w:id="49" w:name="_Toc11681"/>
      <w:bookmarkStart w:id="50" w:name="_Toc19797"/>
      <w:bookmarkStart w:id="51" w:name="_Toc2131"/>
      <w:bookmarkStart w:id="52" w:name="_Toc24368"/>
      <w:bookmarkStart w:id="53" w:name="_Toc143177697"/>
      <w:bookmarkStart w:id="54" w:name="_Toc2752"/>
      <w:bookmarkStart w:id="55" w:name="_Toc16113"/>
      <w:bookmarkStart w:id="56" w:name="_Toc13799"/>
      <w:r>
        <w:rPr>
          <w:rFonts w:hint="eastAsia" w:ascii="宋体" w:hAnsi="宋体" w:eastAsia="宋体" w:cs="宋体"/>
          <w:color w:val="auto"/>
          <w:highlight w:val="none"/>
        </w:rPr>
        <w:t>第四章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资格审查与评标</w:t>
      </w:r>
      <w:bookmarkEnd w:id="48"/>
      <w:bookmarkEnd w:id="49"/>
      <w:bookmarkEnd w:id="50"/>
      <w:bookmarkEnd w:id="51"/>
      <w:bookmarkEnd w:id="52"/>
      <w:bookmarkEnd w:id="53"/>
      <w:bookmarkEnd w:id="54"/>
      <w:bookmarkEnd w:id="55"/>
      <w:bookmarkEnd w:id="56"/>
    </w:p>
    <w:p w14:paraId="0AE6F6E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一、资格审查</w:t>
      </w:r>
    </w:p>
    <w:p w14:paraId="6120B8B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1、开标结束后，由福建立勤项目管理有限公司负责资格审查小组的组建及资格审查工作的组织。</w:t>
      </w:r>
    </w:p>
    <w:p w14:paraId="27691BB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1.1资格审查小组</w:t>
      </w:r>
    </w:p>
    <w:p w14:paraId="164AFCF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审查小组由3人组成，并负责具体审查事务，其中由采购人派出的采购人代表至少1人，由福建立勤项目管理有限公司派出的工作人员至少1人，其余1人可为采购人代表或福建立勤项目管理有限公司的工作人员。</w:t>
      </w:r>
    </w:p>
    <w:p w14:paraId="17FD7D0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1.2资格审查的依据是招标文件和投标文件。</w:t>
      </w:r>
    </w:p>
    <w:p w14:paraId="577A649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1.3资格审查的范围及内容：投标文件（资格及资信证明部分），具体如下：</w:t>
      </w:r>
    </w:p>
    <w:p w14:paraId="6FECBEC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（1）“投标函”；</w:t>
      </w:r>
    </w:p>
    <w:p w14:paraId="188419B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（2）“投标人的资格及资信证明文件”</w:t>
      </w:r>
    </w:p>
    <w:p w14:paraId="0F4A7BD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①一般资格证明文件：</w:t>
      </w:r>
    </w:p>
    <w:p w14:paraId="7AFA87A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w:t>
      </w:r>
    </w:p>
    <w:tbl>
      <w:tblPr>
        <w:tblStyle w:val="22"/>
        <w:tblW w:w="839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2404"/>
        <w:gridCol w:w="5267"/>
      </w:tblGrid>
      <w:tr w14:paraId="52A26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jc w:val="center"/>
        </w:trPr>
        <w:tc>
          <w:tcPr>
            <w:tcW w:w="724" w:type="dxa"/>
          </w:tcPr>
          <w:p w14:paraId="5F9B710C">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404" w:type="dxa"/>
          </w:tcPr>
          <w:p w14:paraId="42CD5DC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资格审查要求概况</w:t>
            </w:r>
          </w:p>
        </w:tc>
        <w:tc>
          <w:tcPr>
            <w:tcW w:w="5267" w:type="dxa"/>
          </w:tcPr>
          <w:p w14:paraId="3689A4F9">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评审点具体描述</w:t>
            </w:r>
          </w:p>
        </w:tc>
      </w:tr>
      <w:tr w14:paraId="7FC68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3" w:hRule="atLeast"/>
          <w:jc w:val="center"/>
        </w:trPr>
        <w:tc>
          <w:tcPr>
            <w:tcW w:w="724" w:type="dxa"/>
          </w:tcPr>
          <w:p w14:paraId="47AB8879">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404" w:type="dxa"/>
          </w:tcPr>
          <w:p w14:paraId="277455E9">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单位授权书</w:t>
            </w:r>
          </w:p>
        </w:tc>
        <w:tc>
          <w:tcPr>
            <w:tcW w:w="5267" w:type="dxa"/>
          </w:tcPr>
          <w:p w14:paraId="6247207C">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1650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8" w:hRule="atLeast"/>
          <w:jc w:val="center"/>
        </w:trPr>
        <w:tc>
          <w:tcPr>
            <w:tcW w:w="724" w:type="dxa"/>
          </w:tcPr>
          <w:p w14:paraId="23752167">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2404" w:type="dxa"/>
          </w:tcPr>
          <w:p w14:paraId="597D0ED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营业执照等证明文件</w:t>
            </w:r>
          </w:p>
        </w:tc>
        <w:tc>
          <w:tcPr>
            <w:tcW w:w="5267" w:type="dxa"/>
          </w:tcPr>
          <w:p w14:paraId="167FC96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31BB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58" w:hRule="atLeast"/>
          <w:jc w:val="center"/>
        </w:trPr>
        <w:tc>
          <w:tcPr>
            <w:tcW w:w="724" w:type="dxa"/>
          </w:tcPr>
          <w:p w14:paraId="1D8E239D">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2404" w:type="dxa"/>
          </w:tcPr>
          <w:p w14:paraId="1CFFE19C">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提供财务状况报告(财务报告、或资信证明）</w:t>
            </w:r>
          </w:p>
        </w:tc>
        <w:tc>
          <w:tcPr>
            <w:tcW w:w="5267" w:type="dxa"/>
          </w:tcPr>
          <w:p w14:paraId="6CEC833E">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①投标人提供的财务报告复印件（成立年限按照投标截止时间推算）应符合下列规定：a.成立年限满1年及以上的投标人，提供经审计的</w:t>
            </w:r>
            <w:r>
              <w:rPr>
                <w:rFonts w:hint="eastAsia" w:ascii="宋体" w:hAnsi="宋体" w:eastAsia="宋体" w:cs="宋体"/>
                <w:b w:val="0"/>
                <w:bCs/>
                <w:color w:val="auto"/>
                <w:sz w:val="24"/>
                <w:szCs w:val="24"/>
                <w:highlight w:val="none"/>
                <w:lang w:eastAsia="zh-CN"/>
              </w:rPr>
              <w:t>上一年度</w:t>
            </w:r>
            <w:r>
              <w:rPr>
                <w:rFonts w:hint="eastAsia" w:ascii="宋体" w:hAnsi="宋体" w:eastAsia="宋体" w:cs="宋体"/>
                <w:b w:val="0"/>
                <w:bCs/>
                <w:color w:val="auto"/>
                <w:sz w:val="24"/>
                <w:szCs w:val="24"/>
                <w:highlight w:val="none"/>
              </w:rPr>
              <w:t>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14:paraId="4549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1" w:hRule="atLeast"/>
          <w:jc w:val="center"/>
        </w:trPr>
        <w:tc>
          <w:tcPr>
            <w:tcW w:w="724" w:type="dxa"/>
          </w:tcPr>
          <w:p w14:paraId="6D21537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2404" w:type="dxa"/>
          </w:tcPr>
          <w:p w14:paraId="6A7D7F1D">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依法缴纳税收证明材料</w:t>
            </w:r>
          </w:p>
        </w:tc>
        <w:tc>
          <w:tcPr>
            <w:tcW w:w="5267" w:type="dxa"/>
          </w:tcPr>
          <w:p w14:paraId="707149AF">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37567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1" w:hRule="atLeast"/>
          <w:jc w:val="center"/>
        </w:trPr>
        <w:tc>
          <w:tcPr>
            <w:tcW w:w="724" w:type="dxa"/>
          </w:tcPr>
          <w:p w14:paraId="2D88734B">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2404" w:type="dxa"/>
          </w:tcPr>
          <w:p w14:paraId="6F5F6EDA">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依法缴纳社会保障资金证明材料</w:t>
            </w:r>
          </w:p>
        </w:tc>
        <w:tc>
          <w:tcPr>
            <w:tcW w:w="5267" w:type="dxa"/>
          </w:tcPr>
          <w:p w14:paraId="4BC933DF">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DF36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7" w:hRule="atLeast"/>
          <w:jc w:val="center"/>
        </w:trPr>
        <w:tc>
          <w:tcPr>
            <w:tcW w:w="724" w:type="dxa"/>
          </w:tcPr>
          <w:p w14:paraId="17DA745C">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2404" w:type="dxa"/>
          </w:tcPr>
          <w:p w14:paraId="44F21935">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具备履行合同所必需设备和专业技术能力的声明函(若有)</w:t>
            </w:r>
          </w:p>
        </w:tc>
        <w:tc>
          <w:tcPr>
            <w:tcW w:w="5267" w:type="dxa"/>
          </w:tcPr>
          <w:p w14:paraId="1075D097">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264B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0" w:hRule="atLeast"/>
          <w:jc w:val="center"/>
        </w:trPr>
        <w:tc>
          <w:tcPr>
            <w:tcW w:w="724" w:type="dxa"/>
          </w:tcPr>
          <w:p w14:paraId="60BBC37A">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p>
        </w:tc>
        <w:tc>
          <w:tcPr>
            <w:tcW w:w="2404" w:type="dxa"/>
          </w:tcPr>
          <w:p w14:paraId="7DE42374">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参加采购活动前三年内在经营活动中没有重大违法记录的声明</w:t>
            </w:r>
          </w:p>
        </w:tc>
        <w:tc>
          <w:tcPr>
            <w:tcW w:w="5267" w:type="dxa"/>
          </w:tcPr>
          <w:p w14:paraId="1C4E9F73">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447E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2" w:hRule="atLeast"/>
          <w:jc w:val="center"/>
        </w:trPr>
        <w:tc>
          <w:tcPr>
            <w:tcW w:w="724" w:type="dxa"/>
          </w:tcPr>
          <w:p w14:paraId="6AAF3E2E">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w:t>
            </w:r>
          </w:p>
        </w:tc>
        <w:tc>
          <w:tcPr>
            <w:tcW w:w="2404" w:type="dxa"/>
          </w:tcPr>
          <w:p w14:paraId="0AB0F79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信用记录查询结果</w:t>
            </w:r>
          </w:p>
        </w:tc>
        <w:tc>
          <w:tcPr>
            <w:tcW w:w="5267" w:type="dxa"/>
          </w:tcPr>
          <w:p w14:paraId="5313B30B">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A00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17" w:hRule="atLeast"/>
          <w:jc w:val="center"/>
        </w:trPr>
        <w:tc>
          <w:tcPr>
            <w:tcW w:w="724" w:type="dxa"/>
          </w:tcPr>
          <w:p w14:paraId="6E764803">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w:t>
            </w:r>
          </w:p>
        </w:tc>
        <w:tc>
          <w:tcPr>
            <w:tcW w:w="2404" w:type="dxa"/>
          </w:tcPr>
          <w:p w14:paraId="54DDBDFA">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中小企业声明函（以资格条件落实中小企业扶持政策时适用 ）</w:t>
            </w:r>
          </w:p>
        </w:tc>
        <w:tc>
          <w:tcPr>
            <w:tcW w:w="5267" w:type="dxa"/>
          </w:tcPr>
          <w:p w14:paraId="128DF825">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99DE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24" w:type="dxa"/>
          </w:tcPr>
          <w:p w14:paraId="02181F06">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w:t>
            </w:r>
          </w:p>
        </w:tc>
        <w:tc>
          <w:tcPr>
            <w:tcW w:w="2404" w:type="dxa"/>
          </w:tcPr>
          <w:p w14:paraId="4601DA34">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联合体协议（若有）</w:t>
            </w:r>
          </w:p>
        </w:tc>
        <w:tc>
          <w:tcPr>
            <w:tcW w:w="5267" w:type="dxa"/>
          </w:tcPr>
          <w:p w14:paraId="25755DA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①招标文件接受联合体投标且投标人为联合体的，投标人应提供本协议；否则无须提供。②本协议由委托代理人签字或盖章的，应按照招标文件第七章载明的格式提供“单位授权书”。</w:t>
            </w:r>
          </w:p>
        </w:tc>
      </w:tr>
    </w:tbl>
    <w:p w14:paraId="2F67B0C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※备注说明</w:t>
      </w:r>
    </w:p>
    <w:p w14:paraId="2AFF3C19">
      <w:pPr>
        <w:pStyle w:val="30"/>
        <w:adjustRightInd w:val="0"/>
        <w:snapToGrid w:val="0"/>
        <w:spacing w:line="360" w:lineRule="auto"/>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①投标人应根据自身实际情况提供上述资格要求的证明材料，格式可参考招标文件第七章提供。</w:t>
      </w:r>
    </w:p>
    <w:p w14:paraId="6B7B4F8A">
      <w:pPr>
        <w:pStyle w:val="30"/>
        <w:adjustRightInd w:val="0"/>
        <w:snapToGrid w:val="0"/>
        <w:spacing w:line="360" w:lineRule="auto"/>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②投标人提供的相应证明材料复印件均应符合：内容完整、清晰、整洁，并由投标人加盖其单位公章。</w:t>
      </w:r>
    </w:p>
    <w:p w14:paraId="513C12B2">
      <w:pPr>
        <w:pStyle w:val="30"/>
        <w:adjustRightInd w:val="0"/>
        <w:snapToGrid w:val="0"/>
        <w:spacing w:line="360" w:lineRule="auto"/>
        <w:ind w:firstLine="480"/>
        <w:jc w:val="both"/>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7608117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ascii="宋体" w:hAnsi="宋体" w:eastAsia="宋体" w:cs="宋体"/>
          <w:bCs/>
          <w:color w:val="auto"/>
          <w:sz w:val="24"/>
          <w:szCs w:val="24"/>
          <w:highlight w:val="none"/>
        </w:rPr>
        <w:t>④其他资格证明文件：</w:t>
      </w:r>
      <w:r>
        <w:rPr>
          <w:rFonts w:hint="eastAsia" w:ascii="宋体" w:hAnsi="宋体" w:eastAsia="宋体" w:cs="宋体"/>
          <w:bCs/>
          <w:color w:val="auto"/>
          <w:sz w:val="24"/>
          <w:szCs w:val="24"/>
          <w:highlight w:val="none"/>
          <w:lang w:eastAsia="zh-CN"/>
        </w:rPr>
        <w:t>详见《第一章</w:t>
      </w:r>
      <w:r>
        <w:rPr>
          <w:rFonts w:hint="eastAsia" w:ascii="宋体" w:hAnsi="宋体" w:eastAsia="宋体" w:cs="宋体"/>
          <w:bCs/>
          <w:color w:val="auto"/>
          <w:sz w:val="24"/>
          <w:szCs w:val="24"/>
          <w:highlight w:val="none"/>
          <w:lang w:val="en-US" w:eastAsia="zh-CN"/>
        </w:rPr>
        <w:t xml:space="preserve"> 投标邀请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投标人的资格要求</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6.2特定条件</w:t>
      </w:r>
      <w:r>
        <w:rPr>
          <w:rFonts w:hint="eastAsia" w:ascii="宋体" w:hAnsi="宋体" w:eastAsia="宋体" w:cs="宋体"/>
          <w:bCs/>
          <w:color w:val="auto"/>
          <w:sz w:val="24"/>
          <w:szCs w:val="24"/>
          <w:highlight w:val="none"/>
          <w:lang w:eastAsia="zh-CN"/>
        </w:rPr>
        <w:t>”。</w:t>
      </w:r>
    </w:p>
    <w:p w14:paraId="1BE377F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（3）投标保证金。</w:t>
      </w:r>
    </w:p>
    <w:p w14:paraId="6B58874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1.4有下列情形之一的，资格审查不合格：</w:t>
      </w:r>
    </w:p>
    <w:tbl>
      <w:tblPr>
        <w:tblStyle w:val="22"/>
        <w:tblpPr w:leftFromText="180" w:rightFromText="180" w:vertAnchor="text" w:horzAnchor="page" w:tblpX="1938" w:tblpY="469"/>
        <w:tblOverlap w:val="never"/>
        <w:tblW w:w="81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88"/>
      </w:tblGrid>
      <w:tr w14:paraId="30C0D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01342FC7">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明细</w:t>
            </w:r>
          </w:p>
        </w:tc>
      </w:tr>
      <w:tr w14:paraId="00D80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46C5C633">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未按照招标文件规定提交投标函</w:t>
            </w:r>
          </w:p>
        </w:tc>
      </w:tr>
      <w:tr w14:paraId="36DB7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59CF5728">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未按照招标文件规定提交投标人的资格及资信文件</w:t>
            </w:r>
          </w:p>
        </w:tc>
      </w:tr>
      <w:tr w14:paraId="44C8C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8" w:hRule="atLeast"/>
        </w:trPr>
        <w:tc>
          <w:tcPr>
            <w:tcW w:w="8188" w:type="dxa"/>
          </w:tcPr>
          <w:p w14:paraId="3FE51295">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未按照招标文件规定提交投标保证金</w:t>
            </w:r>
          </w:p>
        </w:tc>
      </w:tr>
    </w:tbl>
    <w:p w14:paraId="56BE8F8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687F7C4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w:t>
      </w:r>
    </w:p>
    <w:tbl>
      <w:tblPr>
        <w:tblStyle w:val="22"/>
        <w:tblW w:w="817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6"/>
        <w:gridCol w:w="6846"/>
      </w:tblGrid>
      <w:tr w14:paraId="6FF4E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jc w:val="center"/>
        </w:trPr>
        <w:tc>
          <w:tcPr>
            <w:tcW w:w="1326" w:type="dxa"/>
          </w:tcPr>
          <w:p w14:paraId="1D59A019">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6846" w:type="dxa"/>
          </w:tcPr>
          <w:p w14:paraId="66A527C7">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07857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4" w:hRule="atLeast"/>
          <w:jc w:val="center"/>
        </w:trPr>
        <w:tc>
          <w:tcPr>
            <w:tcW w:w="1326" w:type="dxa"/>
          </w:tcPr>
          <w:p w14:paraId="37E18297">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6846" w:type="dxa"/>
          </w:tcPr>
          <w:p w14:paraId="51C34D89">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资格及资信证明部分中不得出现报价部分的全部或部分的投标报价信息。</w:t>
            </w:r>
          </w:p>
        </w:tc>
      </w:tr>
    </w:tbl>
    <w:p w14:paraId="658114A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D0296D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2、资格审查情况不得私自外泄，有关信息由福建立勤项目管理有限公司统一对外发布。</w:t>
      </w:r>
    </w:p>
    <w:p w14:paraId="6672E19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3、资格审查合格的投标人不足三家的，不进行评标。同时，本次采购活动结束，福建立勤项目管理有限公司将依法组织后续采购活动（包括但不限于：重新招标、采用其他方式采购等）。</w:t>
      </w:r>
    </w:p>
    <w:p w14:paraId="46D41E4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二、评标</w:t>
      </w:r>
    </w:p>
    <w:p w14:paraId="3C9CAD3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4、资格审查结束后，由福建立勤项目管理有限公司负责评标委员会的组建及评标工作的组织。</w:t>
      </w:r>
    </w:p>
    <w:p w14:paraId="0D6E2EB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5、评标委员会</w:t>
      </w:r>
    </w:p>
    <w:p w14:paraId="04F8E69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评标委员会由采购人代表和评审专家组成，成员人数应当为5人以上单数，其中评审专家不得少于成员总数的三分之二</w:t>
      </w:r>
      <w:r>
        <w:rPr>
          <w:rFonts w:hint="eastAsia" w:ascii="宋体" w:hAnsi="宋体" w:eastAsia="宋体" w:cs="宋体"/>
          <w:b w:val="0"/>
          <w:bCs/>
          <w:color w:val="auto"/>
          <w:sz w:val="24"/>
          <w:szCs w:val="24"/>
          <w:highlight w:val="none"/>
          <w:lang w:eastAsia="zh-CN"/>
        </w:rPr>
        <w:t>。</w:t>
      </w:r>
    </w:p>
    <w:p w14:paraId="142E5C7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5.2评标委员会负责具体评标事务，并按照下列原则依法独立履行有关职责：</w:t>
      </w:r>
    </w:p>
    <w:p w14:paraId="6B1E93C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（1）评标应保护国家利益、社会公共利益和各方当事人合法权益，提高采购效益，保证项目质量。</w:t>
      </w:r>
    </w:p>
    <w:p w14:paraId="5615969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（2）评标应遵循公平、公正、科学、严谨和择优原则。</w:t>
      </w:r>
    </w:p>
    <w:p w14:paraId="0AFD58E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（3）评标的依据是招标文件和投标文件。</w:t>
      </w:r>
    </w:p>
    <w:p w14:paraId="0A7782D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（4）应按照招标文件规定推荐中标候选人或确定中标人。</w:t>
      </w:r>
    </w:p>
    <w:p w14:paraId="0AEB286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（5）评标应遵守下列评标纪律：</w:t>
      </w:r>
    </w:p>
    <w:p w14:paraId="1225C22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①评标情况不得私自外泄，有关信息由福建立勤项目管理有限公司统一对外发布。</w:t>
      </w:r>
    </w:p>
    <w:p w14:paraId="258C322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②对福建立勤项目管理有限公司或投标人提供的要求保密的资料，不得摘记翻印和外传。</w:t>
      </w:r>
    </w:p>
    <w:p w14:paraId="3EA004E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③不得收受投标人或有关人员的任何礼物，不得串联鼓动其他人袒护某投标人。若与投标人存在利害关系，则应主动声明并回避。</w:t>
      </w:r>
    </w:p>
    <w:p w14:paraId="173CC73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④全体评委应按照招标文件规定进行评标，一切认定事项应查有实据且不得弄虚作假。</w:t>
      </w:r>
    </w:p>
    <w:p w14:paraId="05340F4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⑤评标中应充分发扬民主，推荐中标候选人或确定中标人后要服从评标报告。</w:t>
      </w:r>
    </w:p>
    <w:p w14:paraId="0546934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※对违反评标纪律的评委，将取消其评委资格，对评标工作造成严重损失者将予以通报批评乃至追究法律责任。</w:t>
      </w:r>
    </w:p>
    <w:p w14:paraId="1348C9A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6、评标程序</w:t>
      </w:r>
    </w:p>
    <w:p w14:paraId="4D8A8F9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6.1评标前的准备工作</w:t>
      </w:r>
    </w:p>
    <w:p w14:paraId="581BF54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（1）全体评委应认真审阅招标文件，了解评委应履行或遵守的职责、义务和评标纪律。</w:t>
      </w:r>
    </w:p>
    <w:p w14:paraId="4054C7A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520941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6.2符合性审查</w:t>
      </w:r>
    </w:p>
    <w:p w14:paraId="3077F19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（1）评标委员会依据招标文件的实质性要求，对通过资格审查的投标文件进行符合性审查，以确定其是否满足招标文件的实质性要求。</w:t>
      </w:r>
    </w:p>
    <w:p w14:paraId="73F6936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（2）满足招标文件的实质性要求指投标文件对招标文件实质性要求的响应不存在重大偏差或保留。</w:t>
      </w:r>
    </w:p>
    <w:p w14:paraId="06B0284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75F180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45F36FE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（5）评标委员会对所有投标人都执行相同的程序和标准。</w:t>
      </w:r>
    </w:p>
    <w:p w14:paraId="7C35AFE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（6）有下列情形之一的，符合性审查不合格：</w:t>
      </w:r>
    </w:p>
    <w:p w14:paraId="780A3F8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①项目一般情形：</w:t>
      </w:r>
    </w:p>
    <w:p w14:paraId="62AF45C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w:t>
      </w:r>
    </w:p>
    <w:tbl>
      <w:tblPr>
        <w:tblStyle w:val="22"/>
        <w:tblW w:w="82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1"/>
        <w:gridCol w:w="2243"/>
        <w:gridCol w:w="4992"/>
      </w:tblGrid>
      <w:tr w14:paraId="63C34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97" w:hRule="atLeast"/>
          <w:jc w:val="center"/>
        </w:trPr>
        <w:tc>
          <w:tcPr>
            <w:tcW w:w="981" w:type="dxa"/>
          </w:tcPr>
          <w:p w14:paraId="53FB285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243" w:type="dxa"/>
          </w:tcPr>
          <w:p w14:paraId="012C1005">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符合审查要求概况</w:t>
            </w:r>
          </w:p>
        </w:tc>
        <w:tc>
          <w:tcPr>
            <w:tcW w:w="4992" w:type="dxa"/>
          </w:tcPr>
          <w:p w14:paraId="4AD67FA8">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评审点具体描述</w:t>
            </w:r>
          </w:p>
        </w:tc>
      </w:tr>
      <w:tr w14:paraId="2A6A3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jc w:val="center"/>
        </w:trPr>
        <w:tc>
          <w:tcPr>
            <w:tcW w:w="981" w:type="dxa"/>
          </w:tcPr>
          <w:p w14:paraId="5058DEED">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243" w:type="dxa"/>
          </w:tcPr>
          <w:p w14:paraId="6D824D8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情形1</w:t>
            </w:r>
          </w:p>
        </w:tc>
        <w:tc>
          <w:tcPr>
            <w:tcW w:w="4992" w:type="dxa"/>
          </w:tcPr>
          <w:p w14:paraId="1BBD0D92">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违反招标文件中载明“投标无效”条款的规定；</w:t>
            </w:r>
          </w:p>
        </w:tc>
      </w:tr>
      <w:tr w14:paraId="34580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jc w:val="center"/>
        </w:trPr>
        <w:tc>
          <w:tcPr>
            <w:tcW w:w="981" w:type="dxa"/>
          </w:tcPr>
          <w:p w14:paraId="31B5A72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2243" w:type="dxa"/>
          </w:tcPr>
          <w:p w14:paraId="72C0886F">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情形2</w:t>
            </w:r>
          </w:p>
        </w:tc>
        <w:tc>
          <w:tcPr>
            <w:tcW w:w="4992" w:type="dxa"/>
          </w:tcPr>
          <w:p w14:paraId="06117DFB">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属于招标文件第三章第10.12条规定的投标无效情形；</w:t>
            </w:r>
          </w:p>
        </w:tc>
      </w:tr>
      <w:tr w14:paraId="4B9DC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981" w:type="dxa"/>
          </w:tcPr>
          <w:p w14:paraId="22F082AF">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2243" w:type="dxa"/>
          </w:tcPr>
          <w:p w14:paraId="447B79A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情形3</w:t>
            </w:r>
          </w:p>
        </w:tc>
        <w:tc>
          <w:tcPr>
            <w:tcW w:w="4992" w:type="dxa"/>
          </w:tcPr>
          <w:p w14:paraId="0AA13B2E">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投标文件对招标文件实质性要求的响应存在重大偏离或保留。</w:t>
            </w:r>
          </w:p>
        </w:tc>
      </w:tr>
    </w:tbl>
    <w:p w14:paraId="390768B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②本项目规定的其他情形：</w:t>
      </w:r>
    </w:p>
    <w:p w14:paraId="13563A0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w:t>
      </w:r>
    </w:p>
    <w:p w14:paraId="144C538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技术符合性</w:t>
      </w:r>
    </w:p>
    <w:tbl>
      <w:tblPr>
        <w:tblStyle w:val="22"/>
        <w:tblW w:w="82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6957"/>
      </w:tblGrid>
      <w:tr w14:paraId="0A1B8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19" w:hRule="atLeast"/>
          <w:jc w:val="center"/>
        </w:trPr>
        <w:tc>
          <w:tcPr>
            <w:tcW w:w="1282" w:type="dxa"/>
          </w:tcPr>
          <w:p w14:paraId="5730DD2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情形</w:t>
            </w:r>
          </w:p>
        </w:tc>
        <w:tc>
          <w:tcPr>
            <w:tcW w:w="6957" w:type="dxa"/>
          </w:tcPr>
          <w:p w14:paraId="218E3044">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明细</w:t>
            </w:r>
          </w:p>
        </w:tc>
      </w:tr>
      <w:tr w14:paraId="408E4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282" w:type="dxa"/>
          </w:tcPr>
          <w:p w14:paraId="32A607E2">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其他情形</w:t>
            </w:r>
          </w:p>
        </w:tc>
        <w:tc>
          <w:tcPr>
            <w:tcW w:w="6957" w:type="dxa"/>
          </w:tcPr>
          <w:p w14:paraId="363FE4E2">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在技术评审时，技术商务部分出现报价部分的全部或部分的投标报价信息；招标文件第五章“二、技术和服务要求”中带★号的参数有负偏离的；不符合招标文件中规定的其它实质性要求的条款。</w:t>
            </w:r>
          </w:p>
        </w:tc>
      </w:tr>
    </w:tbl>
    <w:p w14:paraId="06D4497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商务符合性</w:t>
      </w:r>
    </w:p>
    <w:tbl>
      <w:tblPr>
        <w:tblStyle w:val="22"/>
        <w:tblW w:w="0" w:type="auto"/>
        <w:tblInd w:w="21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5"/>
        <w:gridCol w:w="7000"/>
      </w:tblGrid>
      <w:tr w14:paraId="7B071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82" w:hRule="atLeast"/>
        </w:trPr>
        <w:tc>
          <w:tcPr>
            <w:tcW w:w="1275" w:type="dxa"/>
          </w:tcPr>
          <w:p w14:paraId="442DBBC2">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情形</w:t>
            </w:r>
          </w:p>
        </w:tc>
        <w:tc>
          <w:tcPr>
            <w:tcW w:w="7000" w:type="dxa"/>
          </w:tcPr>
          <w:p w14:paraId="2E73851A">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明细</w:t>
            </w:r>
          </w:p>
        </w:tc>
      </w:tr>
      <w:tr w14:paraId="1F77A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 w:hRule="atLeast"/>
        </w:trPr>
        <w:tc>
          <w:tcPr>
            <w:tcW w:w="1275" w:type="dxa"/>
          </w:tcPr>
          <w:p w14:paraId="49829359">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其他情形</w:t>
            </w:r>
          </w:p>
        </w:tc>
        <w:tc>
          <w:tcPr>
            <w:tcW w:w="7000" w:type="dxa"/>
          </w:tcPr>
          <w:p w14:paraId="2228B4DB">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在商务评审时，技术商务部分的内容中出现报价部分的全部或部分的投标报价信息；投标人“商务条件”出现负偏离的；不符合招标文件中规定的其它实质性要求的条款。</w:t>
            </w:r>
          </w:p>
        </w:tc>
      </w:tr>
    </w:tbl>
    <w:p w14:paraId="19DF4D1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附加符合性：无</w:t>
      </w:r>
    </w:p>
    <w:p w14:paraId="0AEDABA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价格符合性：无</w:t>
      </w:r>
    </w:p>
    <w:p w14:paraId="69C6492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6.3澄清有关问题</w:t>
      </w:r>
    </w:p>
    <w:p w14:paraId="7EAE86E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（1）对通过符合性审查的投标文件中含义不明确、同类问题表述不一致或有明显文字和计算错误的内容，评标委员会将以书面形式要求投标人作出必要的澄清、说明或补正。</w:t>
      </w:r>
    </w:p>
    <w:p w14:paraId="06B94C4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02D1707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（3）投标文件报价出现前后不一致的，除招标文件另有规定外，按照下列规定修正：</w:t>
      </w:r>
    </w:p>
    <w:p w14:paraId="7A3DB1E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①开标一览表内容与投标文件中相应内容不一致的，以开标一览表为准；</w:t>
      </w:r>
    </w:p>
    <w:p w14:paraId="51A859B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②大写金额和小写金额不一致的，以大写金额为准；</w:t>
      </w:r>
    </w:p>
    <w:p w14:paraId="6ABBF24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③单价金额小数点或百分比有明显错位的，以开标一览表的总价为准，并修改单价；</w:t>
      </w:r>
    </w:p>
    <w:p w14:paraId="36E63FB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④总价金额与按照单价汇总金额不一致的，以单价金额计算结果为准。</w:t>
      </w:r>
    </w:p>
    <w:p w14:paraId="3B22C7D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7DB3931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（4）关于细微偏差</w:t>
      </w:r>
    </w:p>
    <w:p w14:paraId="3E93C7B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48CBD48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2B8A63D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（5）关于投标描述（即投标文件中描述的内容）</w:t>
      </w:r>
    </w:p>
    <w:p w14:paraId="08D40E9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①投标描述前后不一致且不涉及证明材料的：按照本章第6.3条第（1）、（2）款规定执行。</w:t>
      </w:r>
    </w:p>
    <w:p w14:paraId="3F926E4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②投标描述与证明材料不一致或多份证明材料之间不一致的：</w:t>
      </w:r>
    </w:p>
    <w:p w14:paraId="6B86785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a.评标委员会将要求投标人进行书面澄清，并按照不利于投标人的内容进行评标。</w:t>
      </w:r>
    </w:p>
    <w:p w14:paraId="3A885FC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41C42B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D19688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6.4比较与评价</w:t>
      </w:r>
    </w:p>
    <w:p w14:paraId="089EBDE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（1）按照本章第7条载明的评标方法和标准，对符合性审查合格的投标文件进行比较与评价。</w:t>
      </w:r>
    </w:p>
    <w:p w14:paraId="3538D8E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（2）关于相同品牌产品（服务类项目不适用本条款规定）</w:t>
      </w:r>
    </w:p>
    <w:p w14:paraId="030AFB5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0AC1B1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a.招标文件规定的方式：无</w:t>
      </w:r>
    </w:p>
    <w:p w14:paraId="4F224B5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b.招标文件未规定的，采取随机抽取方式确定，其他投标无效。</w:t>
      </w:r>
    </w:p>
    <w:p w14:paraId="7EBAD6F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ADA10C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a.招标文件规定的方式：无</w:t>
      </w:r>
    </w:p>
    <w:p w14:paraId="33B64AB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b.招标文件未规定的，采取随机抽取方式确定，其他同品牌投标人不作为中标候选人。</w:t>
      </w:r>
    </w:p>
    <w:p w14:paraId="7B068D3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③非单一产品采购项目，多家投标人提供的核心产品品牌相同的，按照本章第6.4条第（2）款第①、②规定处理。</w:t>
      </w:r>
    </w:p>
    <w:p w14:paraId="0619195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（3）漏（缺）项</w:t>
      </w:r>
    </w:p>
    <w:p w14:paraId="646E849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①招标文件中要求列入报价的费用（含配置、功能），漏（缺）项的报价视为已经包括在投标总价中。</w:t>
      </w:r>
    </w:p>
    <w:p w14:paraId="17E5D4D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②对多报项及赠送项的价格评标时不予核减，全部进入评标价评议。</w:t>
      </w:r>
    </w:p>
    <w:p w14:paraId="2C5D270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6.5推荐中标候选人：详见本章第7.2条规定。</w:t>
      </w:r>
    </w:p>
    <w:p w14:paraId="48547EA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6.6编写评标报告</w:t>
      </w:r>
    </w:p>
    <w:p w14:paraId="1A5580B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（1）评标报告由评标委员会负责编写。</w:t>
      </w:r>
    </w:p>
    <w:p w14:paraId="66A317E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（2）评标报告应包括下列内容：</w:t>
      </w:r>
    </w:p>
    <w:p w14:paraId="42F39C4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①招标公告刊登的媒体名称、开标日期和地点；</w:t>
      </w:r>
    </w:p>
    <w:p w14:paraId="4153C13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②投标人名单和评标委员会成员名单；</w:t>
      </w:r>
    </w:p>
    <w:p w14:paraId="46B1D26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③评标方法和标准；</w:t>
      </w:r>
    </w:p>
    <w:p w14:paraId="1B26147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④开标记录和评标情况及说明，包括无效投标人名单及原因；</w:t>
      </w:r>
    </w:p>
    <w:p w14:paraId="5DC41B4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⑤评标结果，包括中标候选人名单或确定的中标人；</w:t>
      </w:r>
    </w:p>
    <w:p w14:paraId="5EAD4AE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⑥其他需要说明的情况，包括但不限于：评标过程中投标人的澄清、说明或补正，评委更换等。</w:t>
      </w:r>
    </w:p>
    <w:p w14:paraId="40E4484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6.7评标委员会认为投标人的报价明显</w:t>
      </w:r>
      <w:r>
        <w:rPr>
          <w:rFonts w:hint="eastAsia" w:ascii="宋体" w:hAnsi="宋体" w:eastAsia="宋体" w:cs="宋体"/>
          <w:b w:val="0"/>
          <w:bCs/>
          <w:color w:val="auto"/>
          <w:sz w:val="24"/>
          <w:szCs w:val="24"/>
          <w:highlight w:val="none"/>
          <w:lang w:eastAsia="zh-CN"/>
        </w:rPr>
        <w:t>高于</w:t>
      </w:r>
      <w:r>
        <w:rPr>
          <w:rFonts w:hint="eastAsia" w:ascii="宋体" w:hAnsi="宋体" w:eastAsia="宋体" w:cs="宋体"/>
          <w:b w:val="0"/>
          <w:bCs/>
          <w:color w:val="auto"/>
          <w:sz w:val="24"/>
          <w:szCs w:val="24"/>
          <w:highlight w:val="none"/>
        </w:rPr>
        <w:t>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1E4AE3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211643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6.9在评标过程中发现投标人有下列情形之一的，评标委员会应认定其投标无效，并书面报告本项目监督管理部门：</w:t>
      </w:r>
    </w:p>
    <w:p w14:paraId="00DF0DF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（1）恶意串通（包括但不限于招标文件第三章第9.7条规定情形）；</w:t>
      </w:r>
    </w:p>
    <w:p w14:paraId="75AD60E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（2）妨碍其他投标人的竞争行为；</w:t>
      </w:r>
    </w:p>
    <w:p w14:paraId="659B3A3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（3）损害采购人或其他投标人的合法权益。</w:t>
      </w:r>
    </w:p>
    <w:p w14:paraId="76FF86E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6.10评标过程中，有下列情形之一的，应予废标：</w:t>
      </w:r>
    </w:p>
    <w:p w14:paraId="5254DD7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（1）符合性审查合格的投标人不足三家的；</w:t>
      </w:r>
    </w:p>
    <w:p w14:paraId="1EE816E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（2）有关法律、法规和规章规定废标的情形。</w:t>
      </w:r>
    </w:p>
    <w:p w14:paraId="3196A8C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※若废标，则本次采购活动结束，福建立勤项目管理有限公司将依法组织后续采购活动（包括但不限于：重新招标、采用其他方式采购等）。</w:t>
      </w:r>
    </w:p>
    <w:p w14:paraId="49E5F9A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7、评标方法和标准</w:t>
      </w:r>
    </w:p>
    <w:p w14:paraId="5A52151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7.1评标方法：</w:t>
      </w:r>
    </w:p>
    <w:p w14:paraId="4608C19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采购包1：综合评分法</w:t>
      </w:r>
    </w:p>
    <w:p w14:paraId="4E26111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7.2评标标准</w:t>
      </w:r>
    </w:p>
    <w:p w14:paraId="7B12DA5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采购包1：综合评分法</w:t>
      </w:r>
    </w:p>
    <w:p w14:paraId="15D7C13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（1）投标文件满足招标文件全部实质性要求，且按照评审因素的量化指标评审得分（即评标总得分）最高的投标人为中标候选人。</w:t>
      </w:r>
    </w:p>
    <w:p w14:paraId="1185DC5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2758284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）各项评审因素的设置如下：</w:t>
      </w:r>
    </w:p>
    <w:p w14:paraId="2CE8945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color w:val="auto"/>
          <w:sz w:val="24"/>
          <w:szCs w:val="24"/>
          <w:highlight w:val="none"/>
        </w:rPr>
      </w:pPr>
    </w:p>
    <w:p w14:paraId="664BA6E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color w:val="auto"/>
          <w:sz w:val="24"/>
          <w:szCs w:val="24"/>
          <w:highlight w:val="none"/>
        </w:rPr>
        <w:t>价格项（F1×A1）满分为</w:t>
      </w:r>
      <w:r>
        <w:rPr>
          <w:rFonts w:hint="eastAsia" w:ascii="宋体" w:hAnsi="宋体" w:eastAsia="宋体" w:cs="宋体"/>
          <w:b/>
          <w:color w:val="auto"/>
          <w:sz w:val="24"/>
          <w:szCs w:val="24"/>
          <w:highlight w:val="none"/>
          <w:u w:val="single"/>
          <w:lang w:val="en-US" w:eastAsia="zh-CN"/>
        </w:rPr>
        <w:t xml:space="preserve"> 10 </w:t>
      </w:r>
      <w:r>
        <w:rPr>
          <w:rFonts w:hint="eastAsia" w:ascii="宋体" w:hAnsi="宋体" w:eastAsia="宋体" w:cs="宋体"/>
          <w:b/>
          <w:color w:val="auto"/>
          <w:sz w:val="24"/>
          <w:szCs w:val="24"/>
          <w:highlight w:val="none"/>
        </w:rPr>
        <w:t>分</w:t>
      </w:r>
    </w:p>
    <w:p w14:paraId="210A08A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4"/>
          <w:szCs w:val="24"/>
          <w:highlight w:val="none"/>
        </w:rPr>
        <w:t>满足招标文件要求且报价最</w:t>
      </w:r>
      <w:r>
        <w:rPr>
          <w:rFonts w:hint="eastAsia" w:ascii="宋体" w:hAnsi="宋体" w:eastAsia="宋体" w:cs="宋体"/>
          <w:b w:val="0"/>
          <w:bCs/>
          <w:color w:val="auto"/>
          <w:sz w:val="24"/>
          <w:szCs w:val="24"/>
          <w:highlight w:val="none"/>
          <w:lang w:val="en-US" w:eastAsia="zh-CN"/>
        </w:rPr>
        <w:t>高</w:t>
      </w:r>
      <w:r>
        <w:rPr>
          <w:rFonts w:hint="eastAsia" w:ascii="宋体" w:hAnsi="宋体" w:eastAsia="宋体" w:cs="宋体"/>
          <w:b w:val="0"/>
          <w:bCs/>
          <w:color w:val="auto"/>
          <w:sz w:val="24"/>
          <w:szCs w:val="24"/>
          <w:highlight w:val="none"/>
        </w:rPr>
        <w:t>的为评审基准价，价格得分=（</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报价/评审基准价）×标准分值。最</w:t>
      </w:r>
      <w:r>
        <w:rPr>
          <w:rFonts w:hint="eastAsia" w:ascii="宋体" w:hAnsi="宋体" w:eastAsia="宋体" w:cs="宋体"/>
          <w:b w:val="0"/>
          <w:bCs/>
          <w:color w:val="auto"/>
          <w:sz w:val="24"/>
          <w:szCs w:val="24"/>
          <w:highlight w:val="none"/>
          <w:lang w:val="en-US" w:eastAsia="zh-CN"/>
        </w:rPr>
        <w:t>高</w:t>
      </w:r>
      <w:r>
        <w:rPr>
          <w:rFonts w:hint="eastAsia" w:ascii="宋体" w:hAnsi="宋体" w:eastAsia="宋体" w:cs="宋体"/>
          <w:b w:val="0"/>
          <w:bCs/>
          <w:color w:val="auto"/>
          <w:sz w:val="24"/>
          <w:szCs w:val="24"/>
          <w:highlight w:val="none"/>
        </w:rPr>
        <w:t>报价不是中标的唯一依据。</w:t>
      </w:r>
    </w:p>
    <w:p w14:paraId="63BF3DC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技术项（F2×A2）满分为</w:t>
      </w:r>
      <w:r>
        <w:rPr>
          <w:rFonts w:hint="eastAsia" w:ascii="宋体" w:hAnsi="宋体" w:eastAsia="宋体" w:cs="宋体"/>
          <w:b/>
          <w:color w:val="auto"/>
          <w:sz w:val="24"/>
          <w:szCs w:val="24"/>
          <w:highlight w:val="none"/>
          <w:u w:val="single"/>
          <w:lang w:val="en-US" w:eastAsia="zh-CN"/>
        </w:rPr>
        <w:t xml:space="preserve"> 78 </w:t>
      </w:r>
      <w:r>
        <w:rPr>
          <w:rFonts w:hint="eastAsia" w:ascii="宋体" w:hAnsi="宋体" w:eastAsia="宋体" w:cs="宋体"/>
          <w:b/>
          <w:color w:val="auto"/>
          <w:sz w:val="24"/>
          <w:szCs w:val="24"/>
          <w:highlight w:val="none"/>
        </w:rPr>
        <w:t>分</w:t>
      </w:r>
    </w:p>
    <w:tbl>
      <w:tblPr>
        <w:tblStyle w:val="22"/>
        <w:tblW w:w="8797" w:type="dxa"/>
        <w:tblInd w:w="-10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91"/>
        <w:gridCol w:w="635"/>
        <w:gridCol w:w="6871"/>
      </w:tblGrid>
      <w:tr w14:paraId="7A69D7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91" w:type="dxa"/>
            <w:tcBorders>
              <w:top w:val="outset" w:color="auto" w:sz="6" w:space="0"/>
              <w:left w:val="outset" w:color="auto" w:sz="6" w:space="0"/>
              <w:bottom w:val="outset" w:color="auto" w:sz="6" w:space="0"/>
              <w:right w:val="outset" w:color="auto" w:sz="6" w:space="0"/>
            </w:tcBorders>
            <w:vAlign w:val="center"/>
          </w:tcPr>
          <w:p w14:paraId="240DEF9D">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w:t>
            </w:r>
          </w:p>
        </w:tc>
        <w:tc>
          <w:tcPr>
            <w:tcW w:w="635" w:type="dxa"/>
            <w:tcBorders>
              <w:top w:val="outset" w:color="auto" w:sz="6" w:space="0"/>
              <w:left w:val="outset" w:color="auto" w:sz="6" w:space="0"/>
              <w:bottom w:val="outset" w:color="auto" w:sz="6" w:space="0"/>
              <w:right w:val="outset" w:color="auto" w:sz="6" w:space="0"/>
            </w:tcBorders>
            <w:vAlign w:val="center"/>
          </w:tcPr>
          <w:p w14:paraId="7E0C6800">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分值</w:t>
            </w:r>
          </w:p>
        </w:tc>
        <w:tc>
          <w:tcPr>
            <w:tcW w:w="6871" w:type="dxa"/>
            <w:tcBorders>
              <w:top w:val="outset" w:color="auto" w:sz="6" w:space="0"/>
              <w:left w:val="outset" w:color="auto" w:sz="6" w:space="0"/>
              <w:bottom w:val="outset" w:color="auto" w:sz="6" w:space="0"/>
              <w:right w:val="outset" w:color="auto" w:sz="6" w:space="0"/>
            </w:tcBorders>
            <w:vAlign w:val="center"/>
          </w:tcPr>
          <w:p w14:paraId="420353BC">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描述</w:t>
            </w:r>
          </w:p>
        </w:tc>
      </w:tr>
      <w:tr w14:paraId="321CA9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1291" w:type="dxa"/>
            <w:tcBorders>
              <w:top w:val="outset" w:color="auto" w:sz="6" w:space="0"/>
              <w:left w:val="outset" w:color="auto" w:sz="6" w:space="0"/>
              <w:bottom w:val="outset" w:color="auto" w:sz="6" w:space="0"/>
              <w:right w:val="outset" w:color="auto" w:sz="6" w:space="0"/>
            </w:tcBorders>
            <w:vAlign w:val="center"/>
          </w:tcPr>
          <w:p w14:paraId="73CBEB40">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技术和服务要求响应情况</w:t>
            </w:r>
          </w:p>
        </w:tc>
        <w:tc>
          <w:tcPr>
            <w:tcW w:w="635" w:type="dxa"/>
            <w:tcBorders>
              <w:top w:val="outset" w:color="auto" w:sz="6" w:space="0"/>
              <w:left w:val="outset" w:color="auto" w:sz="6" w:space="0"/>
              <w:bottom w:val="outset" w:color="auto" w:sz="6" w:space="0"/>
              <w:right w:val="outset" w:color="auto" w:sz="6" w:space="0"/>
            </w:tcBorders>
            <w:vAlign w:val="center"/>
          </w:tcPr>
          <w:p w14:paraId="0187EDFD">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54</w:t>
            </w:r>
          </w:p>
        </w:tc>
        <w:tc>
          <w:tcPr>
            <w:tcW w:w="6871" w:type="dxa"/>
            <w:tcBorders>
              <w:top w:val="outset" w:color="auto" w:sz="6" w:space="0"/>
              <w:left w:val="outset" w:color="auto" w:sz="6" w:space="0"/>
              <w:bottom w:val="outset" w:color="auto" w:sz="6" w:space="0"/>
              <w:right w:val="outset" w:color="auto" w:sz="6" w:space="0"/>
            </w:tcBorders>
            <w:vAlign w:val="center"/>
          </w:tcPr>
          <w:p w14:paraId="13508209">
            <w:pPr>
              <w:keepNext w:val="0"/>
              <w:keepLines w:val="0"/>
              <w:pageBreakBefore w:val="0"/>
              <w:widowControl/>
              <w:kinsoku/>
              <w:wordWrap/>
              <w:overflowPunct/>
              <w:topLinePunct w:val="0"/>
              <w:autoSpaceDE/>
              <w:autoSpaceDN/>
              <w:bidi w:val="0"/>
              <w:adjustRightInd/>
              <w:snapToGrid/>
              <w:spacing w:before="0" w:after="0" w:line="240" w:lineRule="auto"/>
              <w:textAlignment w:val="auto"/>
              <w:outlineLvl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根据各投标人对第五章《招标内容及要求》“二、技术和服务要求”中各项要求的响应、承诺情况，由评委进行打分：全部满足招标文件要求的得</w:t>
            </w:r>
            <w:r>
              <w:rPr>
                <w:rFonts w:hint="eastAsia" w:ascii="宋体" w:hAnsi="宋体" w:eastAsia="宋体" w:cs="宋体"/>
                <w:color w:val="auto"/>
                <w:sz w:val="24"/>
                <w:szCs w:val="24"/>
                <w:highlight w:val="none"/>
                <w:lang w:val="en-US" w:eastAsia="zh-CN"/>
              </w:rPr>
              <w:t>满</w:t>
            </w:r>
            <w:r>
              <w:rPr>
                <w:rFonts w:hint="eastAsia" w:ascii="宋体" w:hAnsi="宋体" w:eastAsia="宋体" w:cs="宋体"/>
                <w:color w:val="auto"/>
                <w:kern w:val="0"/>
                <w:sz w:val="24"/>
                <w:szCs w:val="24"/>
                <w:highlight w:val="none"/>
                <w:lang w:val="en-US" w:eastAsia="zh-CN" w:bidi="ar"/>
              </w:rPr>
              <w:t>分；其中标注“★”号的参数（共2项）为不允许负偏离的实质性要求，有负偏离按照无效投标处理；未标注“★”号的参数（</w:t>
            </w:r>
            <w:r>
              <w:rPr>
                <w:rFonts w:hint="eastAsia" w:ascii="宋体" w:hAnsi="宋体" w:eastAsia="宋体" w:cs="宋体"/>
                <w:b w:val="0"/>
                <w:bCs/>
                <w:color w:val="auto"/>
                <w:kern w:val="0"/>
                <w:sz w:val="24"/>
                <w:szCs w:val="24"/>
                <w:highlight w:val="none"/>
                <w:lang w:val="en-US" w:eastAsia="zh-CN" w:bidi="ar-SA"/>
              </w:rPr>
              <w:t>共18项</w:t>
            </w:r>
            <w:r>
              <w:rPr>
                <w:rFonts w:hint="eastAsia" w:ascii="宋体" w:hAnsi="宋体" w:eastAsia="宋体" w:cs="宋体"/>
                <w:color w:val="auto"/>
                <w:kern w:val="0"/>
                <w:sz w:val="24"/>
                <w:szCs w:val="24"/>
                <w:highlight w:val="none"/>
                <w:lang w:val="en-US" w:eastAsia="zh-CN" w:bidi="ar"/>
              </w:rPr>
              <w:t>）每负偏离一项扣3分，扣完为止；正偏离不加分。</w:t>
            </w:r>
          </w:p>
        </w:tc>
      </w:tr>
      <w:tr w14:paraId="1F5D34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 w:hRule="atLeast"/>
        </w:trPr>
        <w:tc>
          <w:tcPr>
            <w:tcW w:w="1291" w:type="dxa"/>
            <w:tcBorders>
              <w:top w:val="outset" w:color="auto" w:sz="6" w:space="0"/>
              <w:left w:val="outset" w:color="auto" w:sz="6" w:space="0"/>
              <w:bottom w:val="outset" w:color="auto" w:sz="6" w:space="0"/>
              <w:right w:val="outset" w:color="auto" w:sz="6" w:space="0"/>
            </w:tcBorders>
            <w:shd w:val="clear" w:color="auto" w:fill="auto"/>
            <w:vAlign w:val="center"/>
          </w:tcPr>
          <w:p w14:paraId="1C1B0D0C">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整体服务方案</w:t>
            </w:r>
          </w:p>
        </w:tc>
        <w:tc>
          <w:tcPr>
            <w:tcW w:w="635" w:type="dxa"/>
            <w:tcBorders>
              <w:top w:val="outset" w:color="auto" w:sz="6" w:space="0"/>
              <w:left w:val="outset" w:color="auto" w:sz="6" w:space="0"/>
              <w:bottom w:val="outset" w:color="auto" w:sz="6" w:space="0"/>
              <w:right w:val="outset" w:color="auto" w:sz="6" w:space="0"/>
            </w:tcBorders>
            <w:shd w:val="clear" w:color="auto" w:fill="auto"/>
            <w:vAlign w:val="center"/>
          </w:tcPr>
          <w:p w14:paraId="5DD06909">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20"/>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6871" w:type="dxa"/>
            <w:tcBorders>
              <w:top w:val="outset" w:color="auto" w:sz="6" w:space="0"/>
              <w:left w:val="outset" w:color="auto" w:sz="6" w:space="0"/>
              <w:bottom w:val="outset" w:color="auto" w:sz="6" w:space="0"/>
              <w:right w:val="outset" w:color="auto" w:sz="6" w:space="0"/>
            </w:tcBorders>
            <w:shd w:val="clear" w:color="auto" w:fill="auto"/>
            <w:vAlign w:val="center"/>
          </w:tcPr>
          <w:p w14:paraId="7C51C73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提供的整体服务方案情况</w:t>
            </w:r>
            <w:r>
              <w:rPr>
                <w:rFonts w:hint="eastAsia" w:ascii="宋体" w:hAnsi="宋体" w:eastAsia="宋体" w:cs="宋体"/>
                <w:color w:val="auto"/>
                <w:kern w:val="0"/>
                <w:sz w:val="24"/>
                <w:szCs w:val="24"/>
                <w:highlight w:val="none"/>
                <w:lang w:eastAsia="zh-CN"/>
              </w:rPr>
              <w:t>（包含项目整体运营、实施方案、服务内容等），</w:t>
            </w:r>
            <w:r>
              <w:rPr>
                <w:rFonts w:hint="eastAsia" w:ascii="宋体" w:hAnsi="宋体" w:eastAsia="宋体" w:cs="宋体"/>
                <w:color w:val="auto"/>
                <w:sz w:val="24"/>
                <w:szCs w:val="24"/>
                <w:highlight w:val="none"/>
              </w:rPr>
              <w:t>由评委进行</w:t>
            </w:r>
            <w:r>
              <w:rPr>
                <w:rFonts w:hint="eastAsia" w:ascii="宋体" w:hAnsi="宋体" w:eastAsia="宋体" w:cs="宋体"/>
                <w:color w:val="auto"/>
                <w:sz w:val="24"/>
                <w:szCs w:val="24"/>
                <w:highlight w:val="none"/>
                <w:lang w:val="en-US" w:eastAsia="zh-CN"/>
              </w:rPr>
              <w:t>评议</w:t>
            </w:r>
            <w:r>
              <w:rPr>
                <w:rFonts w:hint="eastAsia" w:ascii="宋体" w:hAnsi="宋体" w:eastAsia="宋体" w:cs="宋体"/>
                <w:color w:val="auto"/>
                <w:sz w:val="24"/>
                <w:szCs w:val="24"/>
                <w:highlight w:val="none"/>
              </w:rPr>
              <w:t>：方案包含的要点齐全无缺漏项、内容与要点相符、每个要点均有展开详细的阐述且能够适用于本项目得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分；方案所包含的要点齐全、内容与要点相符、每个要点均有展开阐述（没有特别具体）但基本能够适用于本项目的得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.9分；方案所包含的要点齐全、内容与要点相符但仅有纲要、内容简略，未展开详细阐述但基本能够适用于本项目的得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分；方案所包含的要点有缺漏、未提供或内容存在明显错误、内容明显不适用于本项目需求的均不得分。</w:t>
            </w:r>
          </w:p>
        </w:tc>
      </w:tr>
      <w:tr w14:paraId="4D2D5E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2" w:hRule="atLeast"/>
        </w:trPr>
        <w:tc>
          <w:tcPr>
            <w:tcW w:w="1291" w:type="dxa"/>
            <w:tcBorders>
              <w:top w:val="outset" w:color="auto" w:sz="6" w:space="0"/>
              <w:left w:val="outset" w:color="auto" w:sz="6" w:space="0"/>
              <w:bottom w:val="outset" w:color="auto" w:sz="6" w:space="0"/>
              <w:right w:val="outset" w:color="auto" w:sz="6" w:space="0"/>
            </w:tcBorders>
            <w:vAlign w:val="center"/>
          </w:tcPr>
          <w:p w14:paraId="70498FF2">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供货方案</w:t>
            </w:r>
          </w:p>
        </w:tc>
        <w:tc>
          <w:tcPr>
            <w:tcW w:w="635" w:type="dxa"/>
            <w:tcBorders>
              <w:top w:val="outset" w:color="auto" w:sz="6" w:space="0"/>
              <w:left w:val="outset" w:color="auto" w:sz="6" w:space="0"/>
              <w:bottom w:val="outset" w:color="auto" w:sz="6" w:space="0"/>
              <w:right w:val="outset" w:color="auto" w:sz="6" w:space="0"/>
            </w:tcBorders>
            <w:vAlign w:val="center"/>
          </w:tcPr>
          <w:p w14:paraId="1A8FEC89">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871" w:type="dxa"/>
            <w:tcBorders>
              <w:top w:val="outset" w:color="auto" w:sz="6" w:space="0"/>
              <w:left w:val="outset" w:color="auto" w:sz="6" w:space="0"/>
              <w:bottom w:val="outset" w:color="auto" w:sz="6" w:space="0"/>
              <w:right w:val="outset" w:color="auto" w:sz="6" w:space="0"/>
            </w:tcBorders>
            <w:vAlign w:val="center"/>
          </w:tcPr>
          <w:p w14:paraId="1A097FF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根据投标人</w:t>
            </w:r>
            <w:r>
              <w:rPr>
                <w:rFonts w:hint="eastAsia" w:ascii="宋体" w:hAnsi="宋体" w:eastAsia="宋体" w:cs="宋体"/>
                <w:color w:val="auto"/>
                <w:kern w:val="0"/>
                <w:sz w:val="24"/>
                <w:szCs w:val="24"/>
                <w:highlight w:val="none"/>
              </w:rPr>
              <w:t>提供的</w:t>
            </w:r>
            <w:r>
              <w:rPr>
                <w:rFonts w:hint="eastAsia" w:ascii="宋体" w:hAnsi="宋体" w:eastAsia="宋体" w:cs="宋体"/>
                <w:color w:val="auto"/>
                <w:sz w:val="24"/>
                <w:szCs w:val="24"/>
                <w:highlight w:val="none"/>
              </w:rPr>
              <w:t>供货方案</w:t>
            </w:r>
            <w:r>
              <w:rPr>
                <w:rFonts w:hint="eastAsia" w:ascii="宋体" w:hAnsi="宋体" w:eastAsia="宋体" w:cs="宋体"/>
                <w:color w:val="auto"/>
                <w:kern w:val="0"/>
                <w:sz w:val="24"/>
                <w:szCs w:val="24"/>
                <w:highlight w:val="none"/>
                <w:lang w:eastAsia="zh-CN"/>
              </w:rPr>
              <w:t>（包含供货渠道、供</w:t>
            </w:r>
            <w:r>
              <w:rPr>
                <w:rFonts w:hint="eastAsia" w:ascii="宋体" w:hAnsi="宋体" w:eastAsia="宋体" w:cs="宋体"/>
                <w:b w:val="0"/>
                <w:bCs/>
                <w:color w:val="auto"/>
                <w:sz w:val="24"/>
                <w:szCs w:val="24"/>
                <w:highlight w:val="none"/>
                <w:lang w:val="en-US" w:eastAsia="zh-CN"/>
              </w:rPr>
              <w:t>货流程、查验流程、</w:t>
            </w:r>
            <w:r>
              <w:rPr>
                <w:rFonts w:hint="eastAsia" w:ascii="宋体" w:hAnsi="宋体" w:eastAsia="宋体" w:cs="宋体"/>
                <w:b w:val="0"/>
                <w:bCs/>
                <w:color w:val="auto"/>
                <w:sz w:val="24"/>
                <w:szCs w:val="24"/>
                <w:highlight w:val="none"/>
              </w:rPr>
              <w:t>进货台账</w:t>
            </w:r>
            <w:r>
              <w:rPr>
                <w:rFonts w:hint="eastAsia" w:ascii="宋体" w:hAnsi="宋体" w:eastAsia="宋体" w:cs="宋体"/>
                <w:b w:val="0"/>
                <w:bCs/>
                <w:color w:val="auto"/>
                <w:sz w:val="24"/>
                <w:szCs w:val="24"/>
                <w:highlight w:val="none"/>
                <w:lang w:val="en-US" w:eastAsia="zh-CN"/>
              </w:rPr>
              <w:t>记录方案</w:t>
            </w:r>
            <w:r>
              <w:rPr>
                <w:rFonts w:hint="eastAsia" w:ascii="宋体" w:hAnsi="宋体" w:eastAsia="宋体" w:cs="宋体"/>
                <w:color w:val="auto"/>
                <w:kern w:val="0"/>
                <w:sz w:val="24"/>
                <w:szCs w:val="24"/>
                <w:highlight w:val="none"/>
                <w:lang w:eastAsia="zh-CN"/>
              </w:rPr>
              <w:t>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由评委进行</w:t>
            </w:r>
            <w:r>
              <w:rPr>
                <w:rFonts w:hint="eastAsia" w:ascii="宋体" w:hAnsi="宋体" w:eastAsia="宋体" w:cs="宋体"/>
                <w:color w:val="auto"/>
                <w:kern w:val="0"/>
                <w:sz w:val="24"/>
                <w:szCs w:val="24"/>
                <w:highlight w:val="none"/>
                <w:lang w:val="en-US" w:eastAsia="zh-CN"/>
              </w:rPr>
              <w:t>评议</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方案包含的要点齐全无缺漏项、内容与要点相符、每个要点均有展开详细的阐述且能够适用于本项目得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分；方案所包含的要点齐全、内容与要点相符、每个要点均有展开阐述（没有特别具体）但基本能够适用于本项目的得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.9分；方案所包含的要点齐全、内容与要点相符但仅有纲要、内容简略，未展开详细阐述但基本能够适用于本项目的得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分；方案所包含的要点有缺漏、未提供或内容存在明显错误、内容明显不适用于本项目需求的均不得分。</w:t>
            </w:r>
          </w:p>
        </w:tc>
      </w:tr>
      <w:tr w14:paraId="736A1B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7" w:hRule="atLeast"/>
        </w:trPr>
        <w:tc>
          <w:tcPr>
            <w:tcW w:w="1291" w:type="dxa"/>
            <w:tcBorders>
              <w:top w:val="outset" w:color="auto" w:sz="6" w:space="0"/>
              <w:left w:val="outset" w:color="auto" w:sz="6" w:space="0"/>
              <w:bottom w:val="outset" w:color="auto" w:sz="6" w:space="0"/>
              <w:right w:val="outset" w:color="auto" w:sz="6" w:space="0"/>
            </w:tcBorders>
            <w:vAlign w:val="center"/>
          </w:tcPr>
          <w:p w14:paraId="6EBB8CDC">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食品安全保障措施</w:t>
            </w:r>
          </w:p>
        </w:tc>
        <w:tc>
          <w:tcPr>
            <w:tcW w:w="635" w:type="dxa"/>
            <w:tcBorders>
              <w:top w:val="outset" w:color="auto" w:sz="6" w:space="0"/>
              <w:left w:val="outset" w:color="auto" w:sz="6" w:space="0"/>
              <w:bottom w:val="outset" w:color="auto" w:sz="6" w:space="0"/>
              <w:right w:val="outset" w:color="auto" w:sz="6" w:space="0"/>
            </w:tcBorders>
            <w:vAlign w:val="center"/>
          </w:tcPr>
          <w:p w14:paraId="4605E008">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6871" w:type="dxa"/>
            <w:tcBorders>
              <w:top w:val="outset" w:color="auto" w:sz="6" w:space="0"/>
              <w:left w:val="outset" w:color="auto" w:sz="6" w:space="0"/>
              <w:bottom w:val="outset" w:color="auto" w:sz="6" w:space="0"/>
              <w:right w:val="outset" w:color="auto" w:sz="6" w:space="0"/>
            </w:tcBorders>
            <w:vAlign w:val="center"/>
          </w:tcPr>
          <w:p w14:paraId="24102372">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w:t>
            </w:r>
            <w:r>
              <w:rPr>
                <w:rFonts w:hint="eastAsia" w:ascii="宋体" w:hAnsi="宋体" w:eastAsia="宋体" w:cs="宋体"/>
                <w:color w:val="auto"/>
                <w:kern w:val="0"/>
                <w:sz w:val="24"/>
                <w:szCs w:val="24"/>
                <w:highlight w:val="none"/>
              </w:rPr>
              <w:t>提供的</w:t>
            </w:r>
            <w:r>
              <w:rPr>
                <w:rFonts w:hint="eastAsia" w:ascii="宋体" w:hAnsi="宋体" w:eastAsia="宋体" w:cs="宋体"/>
                <w:color w:val="auto"/>
                <w:sz w:val="24"/>
                <w:szCs w:val="24"/>
                <w:highlight w:val="none"/>
                <w:lang w:val="en-US" w:eastAsia="zh-CN"/>
              </w:rPr>
              <w:t>供货食品安全保障措施</w:t>
            </w:r>
            <w:r>
              <w:rPr>
                <w:rFonts w:hint="eastAsia" w:ascii="宋体" w:hAnsi="宋体" w:eastAsia="宋体" w:cs="宋体"/>
                <w:color w:val="auto"/>
                <w:kern w:val="0"/>
                <w:sz w:val="24"/>
                <w:szCs w:val="24"/>
                <w:highlight w:val="none"/>
                <w:lang w:eastAsia="zh-CN"/>
              </w:rPr>
              <w:t>（包含食品检验流程和方式、食品相关保险等）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由评委进行</w:t>
            </w:r>
            <w:r>
              <w:rPr>
                <w:rFonts w:hint="eastAsia" w:ascii="宋体" w:hAnsi="宋体" w:eastAsia="宋体" w:cs="宋体"/>
                <w:color w:val="auto"/>
                <w:kern w:val="0"/>
                <w:sz w:val="24"/>
                <w:szCs w:val="24"/>
                <w:highlight w:val="none"/>
                <w:lang w:val="en-US" w:eastAsia="zh-CN"/>
              </w:rPr>
              <w:t>评议</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包含的要点齐全无缺漏项、内容与要点相符、每个要点均有展开详细的阐述且能够适用于本项目得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所包含的要点齐全、内容与要点相符、每个要点均有展开阐述（没有特别具体）但基本能够适用于本项目的得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.9分；</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所包含的要点齐全、内容与要点相符但仅有纲要、内容简略，未展开详细阐述但基本能够适用于本项目的得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所包含的要点有缺漏、未提供或内容存在明显错误、内容明显不适用于本项目需求的均不得分。</w:t>
            </w:r>
          </w:p>
        </w:tc>
      </w:tr>
      <w:tr w14:paraId="6689FB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7" w:hRule="atLeast"/>
        </w:trPr>
        <w:tc>
          <w:tcPr>
            <w:tcW w:w="1291" w:type="dxa"/>
            <w:tcBorders>
              <w:top w:val="outset" w:color="auto" w:sz="6" w:space="0"/>
              <w:left w:val="outset" w:color="auto" w:sz="6" w:space="0"/>
              <w:bottom w:val="outset" w:color="auto" w:sz="6" w:space="0"/>
              <w:right w:val="outset" w:color="auto" w:sz="6" w:space="0"/>
            </w:tcBorders>
            <w:vAlign w:val="center"/>
          </w:tcPr>
          <w:p w14:paraId="7F2BE6C9">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缺货补货保证措</w:t>
            </w:r>
          </w:p>
        </w:tc>
        <w:tc>
          <w:tcPr>
            <w:tcW w:w="635" w:type="dxa"/>
            <w:tcBorders>
              <w:top w:val="outset" w:color="auto" w:sz="6" w:space="0"/>
              <w:left w:val="outset" w:color="auto" w:sz="6" w:space="0"/>
              <w:bottom w:val="outset" w:color="auto" w:sz="6" w:space="0"/>
              <w:right w:val="outset" w:color="auto" w:sz="6" w:space="0"/>
            </w:tcBorders>
            <w:vAlign w:val="center"/>
          </w:tcPr>
          <w:p w14:paraId="4788A46A">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6871" w:type="dxa"/>
            <w:tcBorders>
              <w:top w:val="outset" w:color="auto" w:sz="6" w:space="0"/>
              <w:left w:val="outset" w:color="auto" w:sz="6" w:space="0"/>
              <w:bottom w:val="outset" w:color="auto" w:sz="6" w:space="0"/>
              <w:right w:val="outset" w:color="auto" w:sz="6" w:space="0"/>
            </w:tcBorders>
            <w:vAlign w:val="center"/>
          </w:tcPr>
          <w:p w14:paraId="16763C7B">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w:t>
            </w:r>
            <w:r>
              <w:rPr>
                <w:rFonts w:hint="eastAsia" w:ascii="宋体" w:hAnsi="宋体" w:eastAsia="宋体" w:cs="宋体"/>
                <w:color w:val="auto"/>
                <w:kern w:val="0"/>
                <w:sz w:val="24"/>
                <w:szCs w:val="24"/>
                <w:highlight w:val="none"/>
              </w:rPr>
              <w:t>提供的</w:t>
            </w:r>
            <w:r>
              <w:rPr>
                <w:rFonts w:hint="eastAsia" w:ascii="宋体" w:hAnsi="宋体" w:eastAsia="宋体" w:cs="宋体"/>
                <w:color w:val="auto"/>
                <w:sz w:val="24"/>
                <w:szCs w:val="24"/>
                <w:highlight w:val="none"/>
                <w:lang w:val="en-US" w:eastAsia="zh-CN"/>
              </w:rPr>
              <w:t>缺货补货保证措施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包含缺货方案、补货方案等</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由评委进行</w:t>
            </w:r>
            <w:r>
              <w:rPr>
                <w:rFonts w:hint="eastAsia" w:ascii="宋体" w:hAnsi="宋体" w:eastAsia="宋体" w:cs="宋体"/>
                <w:color w:val="auto"/>
                <w:kern w:val="0"/>
                <w:sz w:val="24"/>
                <w:szCs w:val="24"/>
                <w:highlight w:val="none"/>
                <w:lang w:val="en-US" w:eastAsia="zh-CN"/>
              </w:rPr>
              <w:t>评议</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包含的要点齐全无缺漏项、内容与要点相符、每个要点均有展开详细的阐述且能够适用于本项目得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所包含的要点齐全、内容与要点相符、每个要点均有展开阐述（没有特别具体）但基本能够适用于本项目的得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.9分；</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所包含的要点齐全、内容与要点相符但仅有纲要、内容简略，未展开详细阐述但基本能够适用于本项目的得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分；方</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所包含的要点有缺漏、未提供或内容存在明显错误、内容明显不适用于本项目需求的均不得分。</w:t>
            </w:r>
          </w:p>
        </w:tc>
      </w:tr>
      <w:tr w14:paraId="6415AB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91" w:type="dxa"/>
            <w:tcBorders>
              <w:top w:val="outset" w:color="auto" w:sz="6" w:space="0"/>
              <w:left w:val="outset" w:color="auto" w:sz="6" w:space="0"/>
              <w:bottom w:val="outset" w:color="auto" w:sz="6" w:space="0"/>
              <w:right w:val="outset" w:color="auto" w:sz="6" w:space="0"/>
            </w:tcBorders>
            <w:vAlign w:val="center"/>
          </w:tcPr>
          <w:p w14:paraId="16B90ED8">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突发事件应急预案</w:t>
            </w:r>
          </w:p>
        </w:tc>
        <w:tc>
          <w:tcPr>
            <w:tcW w:w="635" w:type="dxa"/>
            <w:tcBorders>
              <w:top w:val="outset" w:color="auto" w:sz="6" w:space="0"/>
              <w:left w:val="outset" w:color="auto" w:sz="6" w:space="0"/>
              <w:bottom w:val="outset" w:color="auto" w:sz="6" w:space="0"/>
              <w:right w:val="outset" w:color="auto" w:sz="6" w:space="0"/>
            </w:tcBorders>
            <w:vAlign w:val="center"/>
          </w:tcPr>
          <w:p w14:paraId="41B54F41">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871" w:type="dxa"/>
            <w:tcBorders>
              <w:top w:val="outset" w:color="auto" w:sz="6" w:space="0"/>
              <w:left w:val="outset" w:color="auto" w:sz="6" w:space="0"/>
              <w:bottom w:val="outset" w:color="auto" w:sz="6" w:space="0"/>
              <w:right w:val="outset" w:color="auto" w:sz="6" w:space="0"/>
            </w:tcBorders>
            <w:vAlign w:val="center"/>
          </w:tcPr>
          <w:p w14:paraId="1D20DB3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val="en-US" w:eastAsia="zh-CN"/>
              </w:rPr>
              <w:t>的应急预案（包</w:t>
            </w:r>
            <w:r>
              <w:rPr>
                <w:rFonts w:hint="eastAsia" w:ascii="宋体" w:hAnsi="宋体" w:eastAsia="宋体" w:cs="宋体"/>
                <w:color w:val="auto"/>
                <w:kern w:val="0"/>
                <w:sz w:val="24"/>
                <w:szCs w:val="24"/>
                <w:highlight w:val="none"/>
                <w:lang w:val="en-US" w:eastAsia="zh-CN"/>
              </w:rPr>
              <w:t>含</w:t>
            </w:r>
            <w:r>
              <w:rPr>
                <w:rFonts w:hint="eastAsia" w:ascii="宋体" w:hAnsi="宋体" w:eastAsia="宋体" w:cs="宋体"/>
                <w:color w:val="auto"/>
                <w:sz w:val="24"/>
                <w:szCs w:val="24"/>
                <w:highlight w:val="none"/>
                <w:lang w:val="en-US" w:eastAsia="zh-CN"/>
              </w:rPr>
              <w:t>出现设备故障时的应急预案和发生食品安全问题时的应急预案等），</w:t>
            </w:r>
            <w:r>
              <w:rPr>
                <w:rFonts w:hint="eastAsia" w:ascii="宋体" w:hAnsi="宋体" w:eastAsia="宋体" w:cs="宋体"/>
                <w:color w:val="auto"/>
                <w:kern w:val="0"/>
                <w:sz w:val="24"/>
                <w:szCs w:val="24"/>
                <w:highlight w:val="none"/>
              </w:rPr>
              <w:t>由评委进行</w:t>
            </w:r>
            <w:r>
              <w:rPr>
                <w:rFonts w:hint="eastAsia" w:ascii="宋体" w:hAnsi="宋体" w:eastAsia="宋体" w:cs="宋体"/>
                <w:color w:val="auto"/>
                <w:kern w:val="0"/>
                <w:sz w:val="24"/>
                <w:szCs w:val="24"/>
                <w:highlight w:val="none"/>
                <w:lang w:val="en-US" w:eastAsia="zh-CN"/>
              </w:rPr>
              <w:t>评议</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方案包含的要点齐全无缺漏项、内容与要点相符、每个要点均有展开详细的阐述且能够适用于本项目得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分；方案所包含的要点齐全、内容与要点相符、每个要点均有展开阐述（没有特别具体）但基本能够适用于本项目的得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.9分；方案所包含的要点齐全、内容与要点相符但仅有纲要、内容简略，未展开详细阐述但基本能够适用于本项目的得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分；方案所包含的要点有缺漏、未提供或内容存在明显错误、内容明显不适用于本项目需求的均不得分。</w:t>
            </w:r>
          </w:p>
        </w:tc>
      </w:tr>
      <w:tr w14:paraId="0C4920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91" w:type="dxa"/>
            <w:tcBorders>
              <w:top w:val="outset" w:color="auto" w:sz="6" w:space="0"/>
              <w:left w:val="outset" w:color="auto" w:sz="6" w:space="0"/>
              <w:bottom w:val="outset" w:color="auto" w:sz="6" w:space="0"/>
              <w:right w:val="outset" w:color="auto" w:sz="6" w:space="0"/>
            </w:tcBorders>
            <w:vAlign w:val="center"/>
          </w:tcPr>
          <w:p w14:paraId="615E2A3F">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人员配备方案</w:t>
            </w:r>
          </w:p>
        </w:tc>
        <w:tc>
          <w:tcPr>
            <w:tcW w:w="635" w:type="dxa"/>
            <w:tcBorders>
              <w:top w:val="outset" w:color="auto" w:sz="6" w:space="0"/>
              <w:left w:val="outset" w:color="auto" w:sz="6" w:space="0"/>
              <w:bottom w:val="outset" w:color="auto" w:sz="6" w:space="0"/>
              <w:right w:val="outset" w:color="auto" w:sz="6" w:space="0"/>
            </w:tcBorders>
            <w:vAlign w:val="center"/>
          </w:tcPr>
          <w:p w14:paraId="5B3EE0FA">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871" w:type="dxa"/>
            <w:tcBorders>
              <w:top w:val="outset" w:color="auto" w:sz="6" w:space="0"/>
              <w:left w:val="outset" w:color="auto" w:sz="6" w:space="0"/>
              <w:bottom w:val="outset" w:color="auto" w:sz="6" w:space="0"/>
              <w:right w:val="outset" w:color="auto" w:sz="6" w:space="0"/>
            </w:tcBorders>
            <w:vAlign w:val="center"/>
          </w:tcPr>
          <w:p w14:paraId="55F8A65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kern w:val="0"/>
                <w:sz w:val="24"/>
                <w:szCs w:val="24"/>
                <w:highlight w:val="none"/>
                <w:lang w:val="en-US" w:eastAsia="zh-CN" w:bidi="ar"/>
              </w:rPr>
              <w:t>人员配备支持方案</w:t>
            </w:r>
            <w:r>
              <w:rPr>
                <w:rFonts w:hint="eastAsia" w:ascii="宋体" w:hAnsi="宋体" w:eastAsia="宋体" w:cs="宋体"/>
                <w:color w:val="auto"/>
                <w:kern w:val="0"/>
                <w:sz w:val="24"/>
                <w:szCs w:val="24"/>
                <w:highlight w:val="none"/>
                <w:lang w:eastAsia="zh-CN"/>
              </w:rPr>
              <w:t>（包含补货人员、维护人员、巡检人员安排等）</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rPr>
              <w:t>由评委进行</w:t>
            </w:r>
            <w:r>
              <w:rPr>
                <w:rFonts w:hint="eastAsia" w:ascii="宋体" w:hAnsi="宋体" w:eastAsia="宋体" w:cs="宋体"/>
                <w:color w:val="auto"/>
                <w:kern w:val="0"/>
                <w:sz w:val="24"/>
                <w:szCs w:val="24"/>
                <w:highlight w:val="none"/>
                <w:lang w:val="en-US" w:eastAsia="zh-CN"/>
              </w:rPr>
              <w:t>评议</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方案包含的要点齐全无缺漏项、内容与要点相符、每个要点均有展开详细的阐述且能够适用于本项目得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分；方案所包含的要点齐全、内容与要点相符、每个要点均有展开阐述（没有特别具体）但基本能够适用于本项目的得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.9分；方案所包含的要点齐全、内容与要点相符但仅有纲要、内容简略，未展开详细阐述但基本能够适用于本项目的得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分；方案所包含的要点有缺漏、未提供或内容存在明显错误、内容明显不适用于本项目需求的均不得分。</w:t>
            </w:r>
          </w:p>
        </w:tc>
      </w:tr>
      <w:tr w14:paraId="5872F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7" w:hRule="atLeast"/>
        </w:trPr>
        <w:tc>
          <w:tcPr>
            <w:tcW w:w="1291" w:type="dxa"/>
            <w:tcBorders>
              <w:top w:val="outset" w:color="auto" w:sz="6" w:space="0"/>
              <w:left w:val="outset" w:color="auto" w:sz="6" w:space="0"/>
              <w:bottom w:val="outset" w:color="auto" w:sz="6" w:space="0"/>
              <w:right w:val="outset" w:color="auto" w:sz="6" w:space="0"/>
            </w:tcBorders>
            <w:vAlign w:val="center"/>
          </w:tcPr>
          <w:p w14:paraId="0F1DF357">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管理制度</w:t>
            </w:r>
          </w:p>
        </w:tc>
        <w:tc>
          <w:tcPr>
            <w:tcW w:w="635" w:type="dxa"/>
            <w:tcBorders>
              <w:top w:val="outset" w:color="auto" w:sz="6" w:space="0"/>
              <w:left w:val="outset" w:color="auto" w:sz="6" w:space="0"/>
              <w:bottom w:val="outset" w:color="auto" w:sz="6" w:space="0"/>
              <w:right w:val="outset" w:color="auto" w:sz="6" w:space="0"/>
            </w:tcBorders>
            <w:vAlign w:val="center"/>
          </w:tcPr>
          <w:p w14:paraId="5A781967">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871" w:type="dxa"/>
            <w:tcBorders>
              <w:top w:val="outset" w:color="auto" w:sz="6" w:space="0"/>
              <w:left w:val="outset" w:color="auto" w:sz="6" w:space="0"/>
              <w:bottom w:val="outset" w:color="auto" w:sz="6" w:space="0"/>
              <w:right w:val="outset" w:color="auto" w:sz="6" w:space="0"/>
            </w:tcBorders>
            <w:vAlign w:val="center"/>
          </w:tcPr>
          <w:p w14:paraId="136DA8B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根据投标人所提供的各项管理制度[包含配送制度、原材料管理制度、岗位职责、销售管理制度、安全责任制度、投诉管理制度（至少包括</w:t>
            </w:r>
            <w:r>
              <w:rPr>
                <w:rFonts w:hint="eastAsia" w:ascii="宋体" w:hAnsi="宋体" w:eastAsia="宋体" w:cs="宋体"/>
                <w:color w:val="auto"/>
                <w:kern w:val="0"/>
                <w:sz w:val="24"/>
                <w:szCs w:val="24"/>
                <w:highlight w:val="none"/>
                <w:lang w:eastAsia="zh-CN"/>
              </w:rPr>
              <w:t>投诉处理流程、投诉处理响应、处理方式等</w:t>
            </w:r>
            <w:r>
              <w:rPr>
                <w:rFonts w:hint="eastAsia" w:ascii="宋体" w:hAnsi="宋体" w:eastAsia="宋体" w:cs="宋体"/>
                <w:color w:val="auto"/>
                <w:kern w:val="0"/>
                <w:sz w:val="24"/>
                <w:szCs w:val="24"/>
                <w:highlight w:val="none"/>
                <w:lang w:val="en-US" w:eastAsia="zh-CN" w:bidi="ar"/>
              </w:rPr>
              <w:t>）等]，</w:t>
            </w:r>
            <w:r>
              <w:rPr>
                <w:rFonts w:hint="eastAsia" w:ascii="宋体" w:hAnsi="宋体" w:eastAsia="宋体" w:cs="宋体"/>
                <w:color w:val="auto"/>
                <w:kern w:val="0"/>
                <w:sz w:val="24"/>
                <w:szCs w:val="24"/>
                <w:highlight w:val="none"/>
              </w:rPr>
              <w:t>由评委进行</w:t>
            </w:r>
            <w:r>
              <w:rPr>
                <w:rFonts w:hint="eastAsia" w:ascii="宋体" w:hAnsi="宋体" w:eastAsia="宋体" w:cs="宋体"/>
                <w:color w:val="auto"/>
                <w:kern w:val="0"/>
                <w:sz w:val="24"/>
                <w:szCs w:val="24"/>
                <w:highlight w:val="none"/>
                <w:lang w:val="en-US" w:eastAsia="zh-CN"/>
              </w:rPr>
              <w:t>评议</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
              </w:rPr>
              <w:t>制度</w:t>
            </w:r>
            <w:r>
              <w:rPr>
                <w:rFonts w:hint="eastAsia" w:ascii="宋体" w:hAnsi="宋体" w:eastAsia="宋体" w:cs="宋体"/>
                <w:color w:val="auto"/>
                <w:sz w:val="24"/>
                <w:szCs w:val="24"/>
                <w:highlight w:val="none"/>
              </w:rPr>
              <w:t>包含的要点齐全无缺漏项、内容与要点相符、每个要点均有展开详细的阐述且能够适用于本项目得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lang w:val="en-US" w:eastAsia="zh-CN" w:bidi="ar"/>
              </w:rPr>
              <w:t>制度</w:t>
            </w:r>
            <w:r>
              <w:rPr>
                <w:rFonts w:hint="eastAsia" w:ascii="宋体" w:hAnsi="宋体" w:eastAsia="宋体" w:cs="宋体"/>
                <w:color w:val="auto"/>
                <w:sz w:val="24"/>
                <w:szCs w:val="24"/>
                <w:highlight w:val="none"/>
              </w:rPr>
              <w:t>所包含的要点齐全、内容与要点相符、每个要点均有展开阐述（没有特别具体）但基本能够适用于本项目的得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lang w:val="en-US" w:eastAsia="zh-CN" w:bidi="ar"/>
              </w:rPr>
              <w:t>制度</w:t>
            </w:r>
            <w:r>
              <w:rPr>
                <w:rFonts w:hint="eastAsia" w:ascii="宋体" w:hAnsi="宋体" w:eastAsia="宋体" w:cs="宋体"/>
                <w:color w:val="auto"/>
                <w:sz w:val="24"/>
                <w:szCs w:val="24"/>
                <w:highlight w:val="none"/>
              </w:rPr>
              <w:t>所包含的要点齐全、内容与要点相符但仅有纲要、内容简略，未展开详细阐述但基本能够适用于本项目的得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lang w:val="en-US" w:eastAsia="zh-CN" w:bidi="ar"/>
              </w:rPr>
              <w:t>制度</w:t>
            </w:r>
            <w:r>
              <w:rPr>
                <w:rFonts w:hint="eastAsia" w:ascii="宋体" w:hAnsi="宋体" w:eastAsia="宋体" w:cs="宋体"/>
                <w:color w:val="auto"/>
                <w:sz w:val="24"/>
                <w:szCs w:val="24"/>
                <w:highlight w:val="none"/>
              </w:rPr>
              <w:t>所包含的要点有缺漏、未提供或内容存在明显错误、内容明显不适用于本项目需求的均不得分。</w:t>
            </w:r>
          </w:p>
        </w:tc>
      </w:tr>
      <w:tr w14:paraId="6686E4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91" w:type="dxa"/>
            <w:tcBorders>
              <w:top w:val="outset" w:color="auto" w:sz="6" w:space="0"/>
              <w:left w:val="outset" w:color="auto" w:sz="6" w:space="0"/>
              <w:bottom w:val="outset" w:color="auto" w:sz="6" w:space="0"/>
              <w:right w:val="outset" w:color="auto" w:sz="6" w:space="0"/>
            </w:tcBorders>
            <w:vAlign w:val="center"/>
          </w:tcPr>
          <w:p w14:paraId="59C1E4C0">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在售商品的多样性</w:t>
            </w:r>
          </w:p>
        </w:tc>
        <w:tc>
          <w:tcPr>
            <w:tcW w:w="635" w:type="dxa"/>
            <w:tcBorders>
              <w:top w:val="outset" w:color="auto" w:sz="6" w:space="0"/>
              <w:left w:val="outset" w:color="auto" w:sz="6" w:space="0"/>
              <w:bottom w:val="outset" w:color="auto" w:sz="6" w:space="0"/>
              <w:right w:val="outset" w:color="auto" w:sz="6" w:space="0"/>
            </w:tcBorders>
            <w:vAlign w:val="center"/>
          </w:tcPr>
          <w:p w14:paraId="4DD0F18C">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871" w:type="dxa"/>
            <w:tcBorders>
              <w:top w:val="outset" w:color="auto" w:sz="6" w:space="0"/>
              <w:left w:val="outset" w:color="auto" w:sz="6" w:space="0"/>
              <w:bottom w:val="outset" w:color="auto" w:sz="6" w:space="0"/>
              <w:right w:val="outset" w:color="auto" w:sz="6" w:space="0"/>
            </w:tcBorders>
            <w:vAlign w:val="center"/>
          </w:tcPr>
          <w:p w14:paraId="62AAA8C9">
            <w:pPr>
              <w:pStyle w:val="7"/>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根据投标人提供的物品种类丰富程度情况[</w:t>
            </w:r>
            <w:r>
              <w:rPr>
                <w:rFonts w:hint="eastAsia" w:ascii="宋体" w:hAnsi="宋体" w:eastAsia="宋体" w:cs="宋体"/>
                <w:bCs/>
                <w:color w:val="auto"/>
                <w:sz w:val="24"/>
                <w:highlight w:val="none"/>
                <w:lang w:val="en-US" w:eastAsia="zh-CN"/>
              </w:rPr>
              <w:t>包括场景（比如：</w:t>
            </w:r>
            <w:r>
              <w:rPr>
                <w:rFonts w:hint="eastAsia" w:ascii="宋体" w:hAnsi="宋体" w:eastAsia="宋体" w:cs="宋体"/>
                <w:bCs/>
                <w:color w:val="auto"/>
                <w:kern w:val="2"/>
                <w:sz w:val="24"/>
                <w:szCs w:val="22"/>
                <w:highlight w:val="none"/>
                <w:lang w:val="en-US" w:eastAsia="zh-CN" w:bidi="ar-SA"/>
              </w:rPr>
              <w:t>门诊大厅</w:t>
            </w:r>
            <w:r>
              <w:rPr>
                <w:rFonts w:hint="eastAsia" w:ascii="宋体" w:hAnsi="宋体" w:eastAsia="宋体" w:cs="宋体"/>
                <w:bCs/>
                <w:color w:val="auto"/>
                <w:sz w:val="24"/>
                <w:highlight w:val="none"/>
                <w:lang w:val="en-US" w:eastAsia="zh-CN"/>
              </w:rPr>
              <w:t>、住院部、急诊等）适配、人群（比如：患者、家属、</w:t>
            </w:r>
            <w:r>
              <w:rPr>
                <w:rFonts w:hint="default" w:ascii="宋体" w:hAnsi="宋体" w:eastAsia="宋体" w:cs="宋体"/>
                <w:bCs/>
                <w:color w:val="auto"/>
                <w:sz w:val="24"/>
                <w:highlight w:val="none"/>
                <w:lang w:val="en-US" w:eastAsia="zh-CN"/>
              </w:rPr>
              <w:t>医护人员</w:t>
            </w:r>
            <w:r>
              <w:rPr>
                <w:rFonts w:hint="eastAsia" w:ascii="宋体" w:hAnsi="宋体" w:eastAsia="宋体" w:cs="宋体"/>
                <w:bCs/>
                <w:color w:val="auto"/>
                <w:sz w:val="24"/>
                <w:highlight w:val="none"/>
                <w:lang w:val="en-US" w:eastAsia="zh-CN"/>
              </w:rPr>
              <w:t>等）覆盖及品种(比如：食品类、日用品类、医疗辅助类等）分类等</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rPr>
              <w:t>由评委进行</w:t>
            </w:r>
            <w:r>
              <w:rPr>
                <w:rFonts w:hint="eastAsia" w:ascii="宋体" w:hAnsi="宋体" w:eastAsia="宋体" w:cs="宋体"/>
                <w:color w:val="auto"/>
                <w:kern w:val="0"/>
                <w:sz w:val="24"/>
                <w:szCs w:val="24"/>
                <w:highlight w:val="none"/>
                <w:lang w:val="en-US" w:eastAsia="zh-CN"/>
              </w:rPr>
              <w:t>评议</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方案包含的要点齐全无缺漏项、内容与要点相符、每个要点均有展开详细的阐述且能够适用于本项目得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分；方案所包含的要点齐全、内容与要点相符、每个要点均有展开阐述（没有特别具体）但基本能够适用于本项目的得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分；方案所包含的要点齐全、内容与要点相符但仅有纲要、内容简略，未展开详细阐述但基本能够适用于本项目的得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分；方案所包含的要点有缺漏、未提供或内容存在明显错误、内容明显不适用于本项目需求的均不得分。</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kern w:val="0"/>
                <w:sz w:val="24"/>
                <w:szCs w:val="24"/>
                <w:highlight w:val="none"/>
                <w:lang w:val="en-US" w:eastAsia="zh-CN" w:bidi="ar"/>
              </w:rPr>
              <w:t>需提供物品种类清单，未提供的不得分。注：中标后采购人有权对物品种类进行核查，如发现投标文件中响应情况与实际情况不符的，采购人有权取消其中标资格（如已签订合同则终止采购合同）。</w:t>
            </w:r>
          </w:p>
        </w:tc>
      </w:tr>
    </w:tbl>
    <w:p w14:paraId="3A54298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color w:val="auto"/>
          <w:sz w:val="24"/>
          <w:szCs w:val="24"/>
          <w:highlight w:val="none"/>
        </w:rPr>
      </w:pPr>
    </w:p>
    <w:p w14:paraId="4D40D5E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商务项（F3×A3）满分为</w:t>
      </w:r>
      <w:r>
        <w:rPr>
          <w:rFonts w:hint="eastAsia" w:ascii="宋体" w:hAnsi="宋体" w:eastAsia="宋体" w:cs="宋体"/>
          <w:b/>
          <w:color w:val="auto"/>
          <w:sz w:val="24"/>
          <w:szCs w:val="24"/>
          <w:highlight w:val="none"/>
          <w:u w:val="single"/>
          <w:lang w:val="en-US" w:eastAsia="zh-CN"/>
        </w:rPr>
        <w:t xml:space="preserve"> 12 </w:t>
      </w:r>
      <w:r>
        <w:rPr>
          <w:rFonts w:hint="eastAsia" w:ascii="宋体" w:hAnsi="宋体" w:eastAsia="宋体" w:cs="宋体"/>
          <w:b/>
          <w:color w:val="auto"/>
          <w:sz w:val="24"/>
          <w:szCs w:val="24"/>
          <w:highlight w:val="none"/>
        </w:rPr>
        <w:t>分</w:t>
      </w:r>
    </w:p>
    <w:tbl>
      <w:tblPr>
        <w:tblStyle w:val="23"/>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40"/>
        <w:gridCol w:w="6788"/>
      </w:tblGrid>
      <w:tr w14:paraId="509F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shd w:val="clear" w:color="auto" w:fill="auto"/>
            <w:vAlign w:val="center"/>
          </w:tcPr>
          <w:p w14:paraId="2648917F">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20"/>
                <w:sz w:val="24"/>
                <w:szCs w:val="24"/>
                <w:highlight w:val="none"/>
                <w:lang w:val="zh-CN" w:eastAsia="zh-CN" w:bidi="ar-SA"/>
              </w:rPr>
            </w:pPr>
            <w:r>
              <w:rPr>
                <w:rFonts w:hint="eastAsia" w:ascii="宋体" w:hAnsi="宋体" w:eastAsia="宋体" w:cs="宋体"/>
                <w:color w:val="auto"/>
                <w:kern w:val="0"/>
                <w:sz w:val="24"/>
                <w:szCs w:val="24"/>
                <w:highlight w:val="none"/>
              </w:rPr>
              <w:t>项目</w:t>
            </w:r>
          </w:p>
        </w:tc>
        <w:tc>
          <w:tcPr>
            <w:tcW w:w="740" w:type="dxa"/>
            <w:shd w:val="clear" w:color="auto" w:fill="auto"/>
            <w:vAlign w:val="center"/>
          </w:tcPr>
          <w:p w14:paraId="5B0729F6">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20"/>
                <w:sz w:val="24"/>
                <w:szCs w:val="24"/>
                <w:highlight w:val="none"/>
                <w:lang w:val="zh-CN" w:eastAsia="zh-CN" w:bidi="ar-SA"/>
              </w:rPr>
            </w:pPr>
            <w:r>
              <w:rPr>
                <w:rFonts w:hint="eastAsia" w:ascii="宋体" w:hAnsi="宋体" w:eastAsia="宋体" w:cs="宋体"/>
                <w:color w:val="auto"/>
                <w:kern w:val="0"/>
                <w:sz w:val="24"/>
                <w:szCs w:val="24"/>
                <w:highlight w:val="none"/>
              </w:rPr>
              <w:t>分值</w:t>
            </w:r>
          </w:p>
        </w:tc>
        <w:tc>
          <w:tcPr>
            <w:tcW w:w="6788" w:type="dxa"/>
            <w:shd w:val="clear" w:color="auto" w:fill="auto"/>
            <w:vAlign w:val="center"/>
          </w:tcPr>
          <w:p w14:paraId="79F305FE">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20"/>
                <w:sz w:val="24"/>
                <w:szCs w:val="24"/>
                <w:highlight w:val="none"/>
                <w:lang w:val="zh-CN" w:eastAsia="zh-CN" w:bidi="ar-SA"/>
              </w:rPr>
            </w:pPr>
            <w:r>
              <w:rPr>
                <w:rFonts w:hint="eastAsia" w:ascii="宋体" w:hAnsi="宋体" w:eastAsia="宋体" w:cs="宋体"/>
                <w:color w:val="auto"/>
                <w:kern w:val="0"/>
                <w:sz w:val="24"/>
                <w:szCs w:val="24"/>
                <w:highlight w:val="none"/>
              </w:rPr>
              <w:t>描述</w:t>
            </w:r>
          </w:p>
        </w:tc>
      </w:tr>
      <w:tr w14:paraId="5030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shd w:val="clear" w:color="auto" w:fill="auto"/>
            <w:vAlign w:val="center"/>
          </w:tcPr>
          <w:p w14:paraId="2B35871E">
            <w:pPr>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color w:val="auto"/>
                <w:kern w:val="2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业绩情况</w:t>
            </w:r>
          </w:p>
        </w:tc>
        <w:tc>
          <w:tcPr>
            <w:tcW w:w="740" w:type="dxa"/>
            <w:shd w:val="clear" w:color="auto" w:fill="auto"/>
            <w:vAlign w:val="center"/>
          </w:tcPr>
          <w:p w14:paraId="774BA933">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20"/>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6788" w:type="dxa"/>
            <w:shd w:val="clear" w:color="auto" w:fill="auto"/>
            <w:vAlign w:val="center"/>
          </w:tcPr>
          <w:p w14:paraId="04B21496">
            <w:pPr>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20"/>
                <w:sz w:val="24"/>
                <w:szCs w:val="24"/>
                <w:highlight w:val="none"/>
                <w:lang w:val="en-US" w:eastAsia="zh-CN" w:bidi="ar-SA"/>
              </w:rPr>
            </w:pPr>
            <w:r>
              <w:rPr>
                <w:rFonts w:hint="eastAsia" w:ascii="宋体" w:hAnsi="宋体" w:eastAsia="宋体" w:cs="宋体"/>
                <w:b w:val="0"/>
                <w:bCs w:val="0"/>
                <w:color w:val="auto"/>
                <w:kern w:val="0"/>
                <w:sz w:val="24"/>
                <w:szCs w:val="24"/>
                <w:highlight w:val="none"/>
              </w:rPr>
              <w:t>根据</w:t>
            </w:r>
            <w:r>
              <w:rPr>
                <w:rFonts w:hint="eastAsia" w:ascii="宋体" w:hAnsi="宋体" w:eastAsia="宋体" w:cs="宋体"/>
                <w:b w:val="0"/>
                <w:bCs w:val="0"/>
                <w:color w:val="auto"/>
                <w:kern w:val="0"/>
                <w:sz w:val="24"/>
                <w:szCs w:val="24"/>
                <w:highlight w:val="none"/>
                <w:lang w:val="en-US" w:eastAsia="zh-CN"/>
              </w:rPr>
              <w:t>投标人</w:t>
            </w:r>
            <w:r>
              <w:rPr>
                <w:rFonts w:hint="eastAsia" w:ascii="宋体" w:hAnsi="宋体" w:eastAsia="宋体" w:cs="宋体"/>
                <w:b w:val="0"/>
                <w:bCs w:val="0"/>
                <w:color w:val="auto"/>
                <w:kern w:val="0"/>
                <w:sz w:val="24"/>
                <w:szCs w:val="24"/>
                <w:highlight w:val="none"/>
              </w:rPr>
              <w:t>提供自</w:t>
            </w:r>
            <w:r>
              <w:rPr>
                <w:rFonts w:hint="eastAsia" w:ascii="宋体" w:hAnsi="宋体" w:eastAsia="宋体" w:cs="宋体"/>
                <w:b w:val="0"/>
                <w:bCs w:val="0"/>
                <w:color w:val="auto"/>
                <w:kern w:val="0"/>
                <w:sz w:val="24"/>
                <w:szCs w:val="24"/>
                <w:highlight w:val="none"/>
              </w:rPr>
              <w:t>20</w:t>
            </w:r>
            <w:r>
              <w:rPr>
                <w:rFonts w:hint="eastAsia" w:ascii="宋体" w:hAnsi="宋体" w:eastAsia="宋体" w:cs="宋体"/>
                <w:b w:val="0"/>
                <w:bCs w:val="0"/>
                <w:color w:val="auto"/>
                <w:kern w:val="0"/>
                <w:sz w:val="24"/>
                <w:szCs w:val="24"/>
                <w:highlight w:val="none"/>
                <w:lang w:val="en-US" w:eastAsia="zh-CN"/>
              </w:rPr>
              <w:t>21</w:t>
            </w:r>
            <w:r>
              <w:rPr>
                <w:rFonts w:hint="eastAsia" w:ascii="宋体" w:hAnsi="宋体" w:eastAsia="宋体" w:cs="宋体"/>
                <w:b w:val="0"/>
                <w:bCs w:val="0"/>
                <w:color w:val="auto"/>
                <w:kern w:val="0"/>
                <w:sz w:val="24"/>
                <w:szCs w:val="24"/>
                <w:highlight w:val="none"/>
              </w:rPr>
              <w:t>年1月1日起至本项目投标截止</w:t>
            </w:r>
            <w:r>
              <w:rPr>
                <w:rFonts w:hint="eastAsia" w:ascii="宋体" w:hAnsi="宋体" w:eastAsia="宋体" w:cs="宋体"/>
                <w:b w:val="0"/>
                <w:bCs w:val="0"/>
                <w:color w:val="auto"/>
                <w:kern w:val="0"/>
                <w:sz w:val="24"/>
                <w:szCs w:val="24"/>
                <w:highlight w:val="none"/>
                <w:lang w:eastAsia="zh-CN"/>
              </w:rPr>
              <w:t>时间</w:t>
            </w:r>
            <w:r>
              <w:rPr>
                <w:rFonts w:hint="eastAsia" w:ascii="宋体" w:hAnsi="宋体" w:eastAsia="宋体" w:cs="宋体"/>
                <w:b w:val="0"/>
                <w:bCs w:val="0"/>
                <w:color w:val="auto"/>
                <w:kern w:val="0"/>
                <w:sz w:val="24"/>
                <w:szCs w:val="24"/>
                <w:highlight w:val="none"/>
              </w:rPr>
              <w:t>止(</w:t>
            </w:r>
            <w:r>
              <w:rPr>
                <w:rFonts w:hint="eastAsia" w:ascii="宋体" w:hAnsi="宋体" w:eastAsia="宋体" w:cs="宋体"/>
                <w:b w:val="0"/>
                <w:bCs w:val="0"/>
                <w:color w:val="auto"/>
                <w:kern w:val="0"/>
                <w:sz w:val="24"/>
                <w:szCs w:val="24"/>
                <w:highlight w:val="none"/>
                <w:lang w:eastAsia="zh-CN"/>
              </w:rPr>
              <w:t>以</w:t>
            </w:r>
            <w:r>
              <w:rPr>
                <w:rFonts w:hint="eastAsia" w:ascii="宋体" w:hAnsi="宋体" w:eastAsia="宋体" w:cs="宋体"/>
                <w:b w:val="0"/>
                <w:bCs w:val="0"/>
                <w:color w:val="auto"/>
                <w:kern w:val="0"/>
                <w:sz w:val="24"/>
                <w:szCs w:val="24"/>
                <w:highlight w:val="none"/>
              </w:rPr>
              <w:t>合同签订日期为准)</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由投标人完成或正在履行的国内</w:t>
            </w:r>
            <w:r>
              <w:rPr>
                <w:rFonts w:hint="eastAsia" w:ascii="宋体" w:hAnsi="宋体" w:eastAsia="宋体" w:cs="宋体"/>
                <w:b w:val="0"/>
                <w:bCs w:val="0"/>
                <w:color w:val="auto"/>
                <w:kern w:val="0"/>
                <w:sz w:val="24"/>
                <w:szCs w:val="24"/>
                <w:highlight w:val="none"/>
                <w:lang w:eastAsia="zh-CN"/>
              </w:rPr>
              <w:t>同类</w:t>
            </w:r>
            <w:r>
              <w:rPr>
                <w:rFonts w:hint="eastAsia" w:ascii="宋体" w:hAnsi="宋体" w:eastAsia="宋体" w:cs="宋体"/>
                <w:b w:val="0"/>
                <w:bCs w:val="0"/>
                <w:color w:val="auto"/>
                <w:kern w:val="0"/>
                <w:sz w:val="24"/>
                <w:szCs w:val="24"/>
                <w:highlight w:val="none"/>
              </w:rPr>
              <w:t>业绩情况进行打分，每提供一份业绩的得</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分，满分</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分。注：</w:t>
            </w:r>
            <w:r>
              <w:rPr>
                <w:rFonts w:hint="eastAsia" w:ascii="宋体" w:hAnsi="宋体" w:eastAsia="宋体" w:cs="宋体"/>
                <w:b w:val="0"/>
                <w:bCs w:val="0"/>
                <w:color w:val="auto"/>
                <w:kern w:val="0"/>
                <w:sz w:val="24"/>
                <w:szCs w:val="24"/>
                <w:highlight w:val="none"/>
                <w:lang w:val="en-US" w:eastAsia="zh-CN" w:bidi="ar"/>
              </w:rPr>
              <w:t>投标人应如实提供该业绩项目的中标(成交)公告(提供相关网站的下载网页并注明网址)、中标(成交)通知书复印件、采购合同文本复印件，</w:t>
            </w:r>
            <w:r>
              <w:rPr>
                <w:rFonts w:hint="eastAsia" w:ascii="宋体" w:hAnsi="宋体" w:eastAsia="宋体" w:cs="宋体"/>
                <w:b w:val="0"/>
                <w:bCs w:val="0"/>
                <w:color w:val="auto"/>
                <w:kern w:val="0"/>
                <w:sz w:val="24"/>
                <w:szCs w:val="24"/>
                <w:highlight w:val="none"/>
              </w:rPr>
              <w:t>以及合同期内采购单位</w:t>
            </w:r>
            <w:r>
              <w:rPr>
                <w:rFonts w:hint="eastAsia" w:ascii="宋体" w:hAnsi="宋体" w:eastAsia="宋体" w:cs="宋体"/>
                <w:b w:val="0"/>
                <w:bCs w:val="0"/>
                <w:color w:val="auto"/>
                <w:kern w:val="0"/>
                <w:sz w:val="24"/>
                <w:szCs w:val="24"/>
                <w:highlight w:val="none"/>
                <w:lang w:val="en-US" w:eastAsia="zh-CN"/>
              </w:rPr>
              <w:t>出具的</w:t>
            </w:r>
            <w:r>
              <w:rPr>
                <w:rFonts w:hint="eastAsia" w:ascii="宋体" w:hAnsi="宋体" w:eastAsia="宋体" w:cs="宋体"/>
                <w:b w:val="0"/>
                <w:bCs w:val="0"/>
                <w:color w:val="auto"/>
                <w:kern w:val="0"/>
                <w:sz w:val="24"/>
                <w:szCs w:val="24"/>
                <w:highlight w:val="none"/>
              </w:rPr>
              <w:t>任意</w:t>
            </w:r>
            <w:r>
              <w:rPr>
                <w:rFonts w:hint="eastAsia" w:ascii="宋体" w:hAnsi="宋体" w:eastAsia="宋体" w:cs="宋体"/>
                <w:b w:val="0"/>
                <w:bCs w:val="0"/>
                <w:color w:val="auto"/>
                <w:kern w:val="0"/>
                <w:sz w:val="24"/>
                <w:szCs w:val="24"/>
                <w:highlight w:val="none"/>
                <w:lang w:val="en-US" w:eastAsia="zh-CN"/>
              </w:rPr>
              <w:t>一份</w:t>
            </w:r>
            <w:r>
              <w:rPr>
                <w:rFonts w:hint="eastAsia" w:ascii="宋体" w:hAnsi="宋体" w:eastAsia="宋体" w:cs="宋体"/>
                <w:b w:val="0"/>
                <w:bCs w:val="0"/>
                <w:color w:val="auto"/>
                <w:kern w:val="0"/>
                <w:sz w:val="24"/>
                <w:szCs w:val="24"/>
                <w:highlight w:val="none"/>
              </w:rPr>
              <w:t>付款凭证复印件</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或</w:t>
            </w:r>
            <w:r>
              <w:rPr>
                <w:rFonts w:hint="eastAsia" w:ascii="宋体" w:hAnsi="宋体" w:eastAsia="宋体" w:cs="宋体"/>
                <w:b w:val="0"/>
                <w:bCs w:val="0"/>
                <w:color w:val="auto"/>
                <w:kern w:val="0"/>
                <w:sz w:val="24"/>
                <w:szCs w:val="24"/>
                <w:highlight w:val="none"/>
                <w:lang w:val="en-US" w:eastAsia="zh-CN"/>
              </w:rPr>
              <w:t>加盖采购</w:t>
            </w:r>
            <w:r>
              <w:rPr>
                <w:rFonts w:hint="eastAsia" w:ascii="宋体" w:hAnsi="宋体" w:eastAsia="宋体" w:cs="宋体"/>
                <w:b w:val="0"/>
                <w:bCs w:val="0"/>
                <w:color w:val="auto"/>
                <w:kern w:val="0"/>
                <w:sz w:val="24"/>
                <w:szCs w:val="24"/>
                <w:highlight w:val="none"/>
              </w:rPr>
              <w:t>单位</w:t>
            </w:r>
            <w:r>
              <w:rPr>
                <w:rFonts w:hint="eastAsia" w:ascii="宋体" w:hAnsi="宋体" w:eastAsia="宋体" w:cs="宋体"/>
                <w:b w:val="0"/>
                <w:bCs w:val="0"/>
                <w:color w:val="auto"/>
                <w:kern w:val="0"/>
                <w:sz w:val="24"/>
                <w:szCs w:val="24"/>
                <w:highlight w:val="none"/>
                <w:lang w:val="en-US" w:eastAsia="zh-CN"/>
              </w:rPr>
              <w:t>公章的</w:t>
            </w:r>
            <w:r>
              <w:rPr>
                <w:rFonts w:hint="eastAsia" w:ascii="宋体" w:hAnsi="宋体" w:eastAsia="宋体" w:cs="宋体"/>
                <w:b w:val="0"/>
                <w:bCs w:val="0"/>
                <w:color w:val="auto"/>
                <w:kern w:val="0"/>
                <w:sz w:val="24"/>
                <w:szCs w:val="24"/>
                <w:highlight w:val="none"/>
              </w:rPr>
              <w:t>验收证明</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
              </w:rPr>
              <w:t>。未提供完整证明文件复印件的不得分；评标过程中如发现填报不实，本项不得分。</w:t>
            </w:r>
          </w:p>
        </w:tc>
      </w:tr>
      <w:tr w14:paraId="22AF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shd w:val="clear" w:color="auto" w:fill="auto"/>
            <w:vAlign w:val="center"/>
          </w:tcPr>
          <w:p w14:paraId="62134797">
            <w:pPr>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满意度</w:t>
            </w:r>
          </w:p>
        </w:tc>
        <w:tc>
          <w:tcPr>
            <w:tcW w:w="740" w:type="dxa"/>
            <w:shd w:val="clear" w:color="auto" w:fill="auto"/>
            <w:vAlign w:val="center"/>
          </w:tcPr>
          <w:p w14:paraId="3E8D4756">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788" w:type="dxa"/>
            <w:shd w:val="clear" w:color="auto" w:fill="auto"/>
            <w:vAlign w:val="center"/>
          </w:tcPr>
          <w:p w14:paraId="4C528202">
            <w:pPr>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20"/>
                <w:sz w:val="24"/>
                <w:szCs w:val="24"/>
                <w:highlight w:val="none"/>
                <w:lang w:val="en-US" w:eastAsia="zh-CN" w:bidi="ar-SA"/>
              </w:rPr>
            </w:pPr>
            <w:r>
              <w:rPr>
                <w:rFonts w:hint="eastAsia" w:ascii="宋体" w:hAnsi="宋体" w:eastAsia="宋体" w:cs="宋体"/>
                <w:b w:val="0"/>
                <w:bCs w:val="0"/>
                <w:color w:val="auto"/>
                <w:kern w:val="0"/>
                <w:sz w:val="24"/>
                <w:szCs w:val="24"/>
                <w:highlight w:val="none"/>
              </w:rPr>
              <w:t>根据</w:t>
            </w:r>
            <w:r>
              <w:rPr>
                <w:rFonts w:hint="eastAsia" w:ascii="宋体" w:hAnsi="宋体" w:eastAsia="宋体" w:cs="宋体"/>
                <w:b w:val="0"/>
                <w:bCs w:val="0"/>
                <w:color w:val="auto"/>
                <w:kern w:val="0"/>
                <w:sz w:val="24"/>
                <w:szCs w:val="24"/>
                <w:highlight w:val="none"/>
                <w:lang w:val="en-US" w:eastAsia="zh-CN"/>
              </w:rPr>
              <w:t>投标人</w:t>
            </w:r>
            <w:r>
              <w:rPr>
                <w:rFonts w:hint="eastAsia" w:ascii="宋体" w:hAnsi="宋体" w:eastAsia="宋体" w:cs="宋体"/>
                <w:b w:val="0"/>
                <w:bCs w:val="0"/>
                <w:color w:val="auto"/>
                <w:kern w:val="0"/>
                <w:sz w:val="24"/>
                <w:szCs w:val="24"/>
                <w:highlight w:val="none"/>
              </w:rPr>
              <w:t>20</w:t>
            </w:r>
            <w:r>
              <w:rPr>
                <w:rFonts w:hint="eastAsia" w:ascii="宋体" w:hAnsi="宋体" w:eastAsia="宋体" w:cs="宋体"/>
                <w:b w:val="0"/>
                <w:bCs w:val="0"/>
                <w:color w:val="auto"/>
                <w:kern w:val="0"/>
                <w:sz w:val="24"/>
                <w:szCs w:val="24"/>
                <w:highlight w:val="none"/>
                <w:lang w:val="en-US" w:eastAsia="zh-CN"/>
              </w:rPr>
              <w:t>21</w:t>
            </w:r>
            <w:r>
              <w:rPr>
                <w:rFonts w:hint="eastAsia" w:ascii="宋体" w:hAnsi="宋体" w:eastAsia="宋体" w:cs="宋体"/>
                <w:b w:val="0"/>
                <w:bCs w:val="0"/>
                <w:color w:val="auto"/>
                <w:kern w:val="0"/>
                <w:sz w:val="24"/>
                <w:szCs w:val="24"/>
                <w:highlight w:val="none"/>
              </w:rPr>
              <w:t>年1月1日起至本</w:t>
            </w:r>
            <w:r>
              <w:rPr>
                <w:rFonts w:hint="eastAsia" w:ascii="宋体" w:hAnsi="宋体" w:eastAsia="宋体" w:cs="宋体"/>
                <w:b w:val="0"/>
                <w:bCs w:val="0"/>
                <w:color w:val="auto"/>
                <w:kern w:val="0"/>
                <w:sz w:val="24"/>
                <w:szCs w:val="24"/>
                <w:highlight w:val="none"/>
                <w:lang w:eastAsia="zh-CN"/>
              </w:rPr>
              <w:t>项目</w:t>
            </w:r>
            <w:r>
              <w:rPr>
                <w:rFonts w:hint="eastAsia" w:ascii="宋体" w:hAnsi="宋体" w:eastAsia="宋体" w:cs="宋体"/>
                <w:b w:val="0"/>
                <w:bCs w:val="0"/>
                <w:color w:val="auto"/>
                <w:kern w:val="0"/>
                <w:sz w:val="24"/>
                <w:szCs w:val="24"/>
                <w:highlight w:val="none"/>
              </w:rPr>
              <w:t>投标截止</w:t>
            </w:r>
            <w:r>
              <w:rPr>
                <w:rFonts w:hint="eastAsia" w:ascii="宋体" w:hAnsi="宋体" w:eastAsia="宋体" w:cs="宋体"/>
                <w:b w:val="0"/>
                <w:bCs w:val="0"/>
                <w:color w:val="auto"/>
                <w:kern w:val="0"/>
                <w:sz w:val="24"/>
                <w:szCs w:val="24"/>
                <w:highlight w:val="none"/>
                <w:lang w:eastAsia="zh-CN"/>
              </w:rPr>
              <w:t>时间止</w:t>
            </w:r>
            <w:r>
              <w:rPr>
                <w:rFonts w:hint="eastAsia" w:ascii="宋体" w:hAnsi="宋体" w:eastAsia="宋体" w:cs="宋体"/>
                <w:b w:val="0"/>
                <w:bCs w:val="0"/>
                <w:color w:val="auto"/>
                <w:kern w:val="0"/>
                <w:sz w:val="24"/>
                <w:szCs w:val="24"/>
                <w:highlight w:val="none"/>
              </w:rPr>
              <w:t>(以合同签订日期为准)</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由投标人完成</w:t>
            </w:r>
            <w:r>
              <w:rPr>
                <w:rFonts w:hint="eastAsia" w:ascii="宋体" w:hAnsi="宋体" w:eastAsia="宋体" w:cs="宋体"/>
                <w:b w:val="0"/>
                <w:bCs w:val="0"/>
                <w:color w:val="auto"/>
                <w:kern w:val="0"/>
                <w:sz w:val="24"/>
                <w:szCs w:val="24"/>
                <w:highlight w:val="none"/>
                <w:lang w:eastAsia="zh-CN"/>
              </w:rPr>
              <w:t>的</w:t>
            </w:r>
            <w:r>
              <w:rPr>
                <w:rFonts w:hint="eastAsia" w:ascii="宋体" w:hAnsi="宋体" w:eastAsia="宋体" w:cs="宋体"/>
                <w:b w:val="0"/>
                <w:bCs w:val="0"/>
                <w:color w:val="auto"/>
                <w:kern w:val="0"/>
                <w:sz w:val="24"/>
                <w:szCs w:val="24"/>
                <w:highlight w:val="none"/>
              </w:rPr>
              <w:t>国内</w:t>
            </w:r>
            <w:r>
              <w:rPr>
                <w:rFonts w:hint="eastAsia" w:ascii="宋体" w:hAnsi="宋体" w:eastAsia="宋体" w:cs="宋体"/>
                <w:b w:val="0"/>
                <w:bCs w:val="0"/>
                <w:color w:val="auto"/>
                <w:kern w:val="0"/>
                <w:sz w:val="24"/>
                <w:szCs w:val="24"/>
                <w:highlight w:val="none"/>
                <w:lang w:eastAsia="zh-CN"/>
              </w:rPr>
              <w:t>同类</w:t>
            </w:r>
            <w:r>
              <w:rPr>
                <w:rFonts w:hint="eastAsia" w:ascii="宋体" w:hAnsi="宋体" w:eastAsia="宋体" w:cs="宋体"/>
                <w:b w:val="0"/>
                <w:bCs w:val="0"/>
                <w:color w:val="auto"/>
                <w:kern w:val="0"/>
                <w:sz w:val="24"/>
                <w:szCs w:val="24"/>
                <w:highlight w:val="none"/>
              </w:rPr>
              <w:t>项目满意度情况进行评分，每提供一份得</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分，满分</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分。</w:t>
            </w:r>
            <w:r>
              <w:rPr>
                <w:rFonts w:hint="eastAsia" w:ascii="宋体" w:hAnsi="宋体" w:eastAsia="宋体" w:cs="宋体"/>
                <w:b w:val="0"/>
                <w:bCs w:val="0"/>
                <w:color w:val="auto"/>
                <w:kern w:val="0"/>
                <w:sz w:val="24"/>
                <w:szCs w:val="24"/>
                <w:highlight w:val="none"/>
                <w:lang w:val="en-US" w:eastAsia="zh-CN"/>
              </w:rPr>
              <w:t>注：</w:t>
            </w:r>
            <w:r>
              <w:rPr>
                <w:rFonts w:hint="eastAsia" w:ascii="宋体" w:hAnsi="宋体" w:eastAsia="宋体" w:cs="宋体"/>
                <w:b w:val="0"/>
                <w:bCs w:val="0"/>
                <w:color w:val="auto"/>
                <w:kern w:val="0"/>
                <w:sz w:val="24"/>
                <w:szCs w:val="24"/>
                <w:highlight w:val="none"/>
                <w:lang w:val="en-US" w:eastAsia="zh-CN" w:bidi="ar"/>
              </w:rPr>
              <w:t>投标人应如实提供</w:t>
            </w:r>
            <w:r>
              <w:rPr>
                <w:rFonts w:hint="eastAsia" w:ascii="宋体" w:hAnsi="宋体" w:eastAsia="宋体" w:cs="宋体"/>
                <w:b w:val="0"/>
                <w:bCs w:val="0"/>
                <w:color w:val="auto"/>
                <w:kern w:val="0"/>
                <w:sz w:val="24"/>
                <w:szCs w:val="24"/>
                <w:highlight w:val="none"/>
              </w:rPr>
              <w:t>业主方出具的满意评价</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评价</w:t>
            </w:r>
            <w:r>
              <w:rPr>
                <w:rFonts w:hint="eastAsia" w:ascii="宋体" w:hAnsi="宋体" w:eastAsia="宋体" w:cs="宋体"/>
                <w:b w:val="0"/>
                <w:bCs w:val="0"/>
                <w:color w:val="auto"/>
                <w:kern w:val="0"/>
                <w:sz w:val="24"/>
                <w:szCs w:val="24"/>
                <w:highlight w:val="none"/>
              </w:rPr>
              <w:t>意见为肯定性意见</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如满意、</w:t>
            </w:r>
            <w:r>
              <w:rPr>
                <w:rFonts w:hint="eastAsia" w:ascii="宋体" w:hAnsi="宋体" w:eastAsia="宋体" w:cs="宋体"/>
                <w:b w:val="0"/>
                <w:bCs w:val="0"/>
                <w:color w:val="auto"/>
                <w:kern w:val="0"/>
                <w:sz w:val="24"/>
                <w:szCs w:val="24"/>
                <w:highlight w:val="none"/>
                <w:lang w:eastAsia="zh-CN"/>
              </w:rPr>
              <w:t>好、</w:t>
            </w:r>
            <w:r>
              <w:rPr>
                <w:rFonts w:hint="eastAsia" w:ascii="宋体" w:hAnsi="宋体" w:eastAsia="宋体" w:cs="宋体"/>
                <w:b w:val="0"/>
                <w:bCs w:val="0"/>
                <w:color w:val="auto"/>
                <w:kern w:val="0"/>
                <w:sz w:val="24"/>
                <w:szCs w:val="24"/>
                <w:highlight w:val="none"/>
              </w:rPr>
              <w:t>良好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优</w:t>
            </w:r>
            <w:r>
              <w:rPr>
                <w:rFonts w:hint="eastAsia" w:ascii="宋体" w:hAnsi="宋体" w:eastAsia="宋体" w:cs="宋体"/>
                <w:b w:val="0"/>
                <w:bCs w:val="0"/>
                <w:color w:val="auto"/>
                <w:kern w:val="0"/>
                <w:sz w:val="24"/>
                <w:szCs w:val="24"/>
                <w:highlight w:val="none"/>
                <w:lang w:eastAsia="zh-CN"/>
              </w:rPr>
              <w:t>等</w:t>
            </w:r>
            <w:r>
              <w:rPr>
                <w:rFonts w:hint="eastAsia" w:ascii="宋体" w:hAnsi="宋体" w:eastAsia="宋体" w:cs="宋体"/>
                <w:b w:val="0"/>
                <w:bCs w:val="0"/>
                <w:color w:val="auto"/>
                <w:kern w:val="0"/>
                <w:sz w:val="24"/>
                <w:szCs w:val="24"/>
                <w:highlight w:val="none"/>
              </w:rPr>
              <w:t>)，未提供的不得分。</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项目中须含合同文本复印件，以及由</w:t>
            </w:r>
            <w:r>
              <w:rPr>
                <w:rFonts w:hint="eastAsia" w:ascii="宋体" w:hAnsi="宋体" w:eastAsia="宋体" w:cs="宋体"/>
                <w:b w:val="0"/>
                <w:bCs w:val="0"/>
                <w:color w:val="auto"/>
                <w:kern w:val="0"/>
                <w:sz w:val="24"/>
                <w:szCs w:val="24"/>
                <w:highlight w:val="none"/>
                <w:lang w:val="en-US" w:eastAsia="zh-CN"/>
              </w:rPr>
              <w:t>采购单位</w:t>
            </w:r>
            <w:r>
              <w:rPr>
                <w:rFonts w:hint="eastAsia" w:ascii="宋体" w:hAnsi="宋体" w:eastAsia="宋体" w:cs="宋体"/>
                <w:b w:val="0"/>
                <w:bCs w:val="0"/>
                <w:color w:val="auto"/>
                <w:kern w:val="0"/>
                <w:sz w:val="24"/>
                <w:szCs w:val="24"/>
                <w:highlight w:val="none"/>
              </w:rPr>
              <w:t>出具的</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须加盖</w:t>
            </w:r>
            <w:r>
              <w:rPr>
                <w:rFonts w:hint="eastAsia" w:ascii="宋体" w:hAnsi="宋体" w:eastAsia="宋体" w:cs="宋体"/>
                <w:b w:val="0"/>
                <w:bCs w:val="0"/>
                <w:color w:val="auto"/>
                <w:kern w:val="0"/>
                <w:sz w:val="24"/>
                <w:szCs w:val="24"/>
                <w:highlight w:val="none"/>
                <w:lang w:val="en-US" w:eastAsia="zh-CN"/>
              </w:rPr>
              <w:t>采购</w:t>
            </w:r>
            <w:r>
              <w:rPr>
                <w:rFonts w:hint="eastAsia" w:ascii="宋体" w:hAnsi="宋体" w:eastAsia="宋体" w:cs="宋体"/>
                <w:b w:val="0"/>
                <w:bCs w:val="0"/>
                <w:color w:val="auto"/>
                <w:kern w:val="0"/>
                <w:sz w:val="24"/>
                <w:szCs w:val="24"/>
                <w:highlight w:val="none"/>
              </w:rPr>
              <w:t>单位公章或</w:t>
            </w:r>
            <w:r>
              <w:rPr>
                <w:rFonts w:hint="eastAsia" w:ascii="宋体" w:hAnsi="宋体" w:eastAsia="宋体" w:cs="宋体"/>
                <w:b w:val="0"/>
                <w:bCs w:val="0"/>
                <w:color w:val="auto"/>
                <w:kern w:val="0"/>
                <w:sz w:val="24"/>
                <w:szCs w:val="24"/>
                <w:highlight w:val="none"/>
                <w:lang w:val="en-US" w:eastAsia="zh-CN"/>
              </w:rPr>
              <w:t>采购</w:t>
            </w:r>
            <w:r>
              <w:rPr>
                <w:rFonts w:hint="eastAsia" w:ascii="宋体" w:hAnsi="宋体" w:eastAsia="宋体" w:cs="宋体"/>
                <w:b w:val="0"/>
                <w:bCs w:val="0"/>
                <w:color w:val="auto"/>
                <w:kern w:val="0"/>
                <w:sz w:val="24"/>
                <w:szCs w:val="24"/>
                <w:highlight w:val="none"/>
              </w:rPr>
              <w:t>单位使用部门章</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项目服务满意证明材料，未同时提供以上各项证明材料的</w:t>
            </w:r>
            <w:r>
              <w:rPr>
                <w:rFonts w:hint="eastAsia" w:ascii="宋体" w:hAnsi="宋体" w:eastAsia="宋体" w:cs="宋体"/>
                <w:b w:val="0"/>
                <w:bCs w:val="0"/>
                <w:color w:val="auto"/>
                <w:kern w:val="0"/>
                <w:sz w:val="24"/>
                <w:szCs w:val="24"/>
                <w:highlight w:val="none"/>
                <w:lang w:eastAsia="zh-CN"/>
              </w:rPr>
              <w:t>不得分</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】该评分项</w:t>
            </w:r>
            <w:r>
              <w:rPr>
                <w:rFonts w:hint="eastAsia" w:ascii="宋体" w:hAnsi="宋体" w:eastAsia="宋体" w:cs="宋体"/>
                <w:b w:val="0"/>
                <w:bCs w:val="0"/>
                <w:color w:val="auto"/>
                <w:kern w:val="0"/>
                <w:sz w:val="24"/>
                <w:szCs w:val="24"/>
                <w:highlight w:val="none"/>
                <w:lang w:val="en-US" w:eastAsia="zh-CN" w:bidi="ar"/>
              </w:rPr>
              <w:t>与“业绩情况”评分项提供同一合同的不重复计分</w:t>
            </w:r>
            <w:r>
              <w:rPr>
                <w:rFonts w:hint="eastAsia" w:ascii="宋体" w:hAnsi="宋体" w:eastAsia="宋体" w:cs="宋体"/>
                <w:b w:val="0"/>
                <w:bCs w:val="0"/>
                <w:color w:val="auto"/>
                <w:kern w:val="0"/>
                <w:sz w:val="24"/>
                <w:szCs w:val="24"/>
                <w:highlight w:val="none"/>
              </w:rPr>
              <w:t>，同一</w:t>
            </w:r>
            <w:r>
              <w:rPr>
                <w:rFonts w:hint="eastAsia" w:ascii="宋体" w:hAnsi="宋体" w:eastAsia="宋体" w:cs="宋体"/>
                <w:b w:val="0"/>
                <w:bCs w:val="0"/>
                <w:color w:val="auto"/>
                <w:kern w:val="0"/>
                <w:sz w:val="24"/>
                <w:szCs w:val="24"/>
                <w:highlight w:val="none"/>
                <w:lang w:val="en-US" w:eastAsia="zh-CN"/>
              </w:rPr>
              <w:t>采购</w:t>
            </w:r>
            <w:r>
              <w:rPr>
                <w:rFonts w:hint="eastAsia" w:ascii="宋体" w:hAnsi="宋体" w:eastAsia="宋体" w:cs="宋体"/>
                <w:b w:val="0"/>
                <w:bCs w:val="0"/>
                <w:color w:val="auto"/>
                <w:kern w:val="0"/>
                <w:sz w:val="24"/>
                <w:szCs w:val="24"/>
                <w:highlight w:val="none"/>
              </w:rPr>
              <w:t>单位出具的多份评价意见</w:t>
            </w:r>
            <w:r>
              <w:rPr>
                <w:rFonts w:hint="eastAsia" w:ascii="宋体" w:hAnsi="宋体" w:eastAsia="宋体" w:cs="宋体"/>
                <w:b w:val="0"/>
                <w:bCs w:val="0"/>
                <w:color w:val="auto"/>
                <w:kern w:val="0"/>
                <w:sz w:val="24"/>
                <w:szCs w:val="24"/>
                <w:highlight w:val="none"/>
                <w:lang w:val="en-US" w:eastAsia="zh-CN"/>
              </w:rPr>
              <w:t>的</w:t>
            </w:r>
            <w:r>
              <w:rPr>
                <w:rFonts w:hint="eastAsia" w:ascii="宋体" w:hAnsi="宋体" w:eastAsia="宋体" w:cs="宋体"/>
                <w:b w:val="0"/>
                <w:bCs w:val="0"/>
                <w:color w:val="auto"/>
                <w:kern w:val="0"/>
                <w:sz w:val="24"/>
                <w:szCs w:val="24"/>
                <w:highlight w:val="none"/>
              </w:rPr>
              <w:t>不重复计分。</w:t>
            </w:r>
          </w:p>
        </w:tc>
      </w:tr>
      <w:tr w14:paraId="7291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shd w:val="clear" w:color="auto" w:fill="auto"/>
            <w:vAlign w:val="center"/>
          </w:tcPr>
          <w:p w14:paraId="1AE99F62">
            <w:pPr>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便携性服务</w:t>
            </w:r>
          </w:p>
        </w:tc>
        <w:tc>
          <w:tcPr>
            <w:tcW w:w="740" w:type="dxa"/>
            <w:shd w:val="clear" w:color="auto" w:fill="auto"/>
            <w:vAlign w:val="center"/>
          </w:tcPr>
          <w:p w14:paraId="64199347">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20"/>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6788" w:type="dxa"/>
            <w:shd w:val="clear" w:color="auto" w:fill="auto"/>
            <w:vAlign w:val="center"/>
          </w:tcPr>
          <w:p w14:paraId="484AC08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投标人承诺到达售后服务点时间</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
              </w:rPr>
              <w:t>10分钟</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10分钟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
              </w:rPr>
              <w:t>到达售后服务点时间</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
              </w:rPr>
              <w:t>20分钟</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20分钟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
              </w:rPr>
              <w:t>到达售后服务点时间</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
              </w:rPr>
              <w:t>30分钟</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到达售后服务点时间</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30分钟</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需提供专项承诺函，否则不得分。</w:t>
            </w:r>
          </w:p>
        </w:tc>
      </w:tr>
      <w:tr w14:paraId="36F6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shd w:val="clear" w:color="auto" w:fill="auto"/>
            <w:vAlign w:val="center"/>
          </w:tcPr>
          <w:p w14:paraId="5C332AE7">
            <w:pPr>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售后服务整体方案</w:t>
            </w:r>
          </w:p>
        </w:tc>
        <w:tc>
          <w:tcPr>
            <w:tcW w:w="740" w:type="dxa"/>
            <w:shd w:val="clear" w:color="auto" w:fill="auto"/>
            <w:vAlign w:val="center"/>
          </w:tcPr>
          <w:p w14:paraId="45CB6D02">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20"/>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6788" w:type="dxa"/>
            <w:shd w:val="clear" w:color="auto" w:fill="auto"/>
            <w:vAlign w:val="center"/>
          </w:tcPr>
          <w:p w14:paraId="048172D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根据各投标人提供的售后服务方案（包</w:t>
            </w:r>
            <w:r>
              <w:rPr>
                <w:rFonts w:hint="eastAsia" w:ascii="宋体" w:hAnsi="宋体" w:eastAsia="宋体" w:cs="宋体"/>
                <w:color w:val="auto"/>
                <w:sz w:val="24"/>
                <w:szCs w:val="24"/>
                <w:highlight w:val="none"/>
                <w:lang w:eastAsia="zh-CN"/>
              </w:rPr>
              <w:t>含</w:t>
            </w:r>
            <w:r>
              <w:rPr>
                <w:rFonts w:hint="eastAsia" w:ascii="宋体" w:hAnsi="宋体" w:eastAsia="宋体" w:cs="宋体"/>
                <w:color w:val="auto"/>
                <w:sz w:val="24"/>
                <w:szCs w:val="24"/>
                <w:highlight w:val="none"/>
              </w:rPr>
              <w:t>售后内容、响应方式、维修服务能力</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）,由评委进行评分：方案包含的要点齐全无缺漏项、内容与要点相符、每个要点均有展开详细的阐述且能够适用于本项目得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分；方案所包含的要点齐全、内容与要点相符、每个要点均有展开阐述（没有特别具体）但基本能够适用于本项目的得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分；方案所包含的要点齐全、内容与要点相符但仅有纲要、内容简略，未展开详细阐述但基本能够适用于本项目的得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分；方案所包含的要点有缺漏、未提供或内容存在明显错误、内容明显不适用于本项目需求的均不得分。</w:t>
            </w:r>
          </w:p>
        </w:tc>
      </w:tr>
    </w:tbl>
    <w:p w14:paraId="2952B94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color w:val="auto"/>
          <w:sz w:val="24"/>
          <w:szCs w:val="24"/>
          <w:highlight w:val="none"/>
        </w:rPr>
      </w:pPr>
    </w:p>
    <w:p w14:paraId="633FE9B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（4）中标候选人排列规则顺序如下：</w:t>
      </w:r>
    </w:p>
    <w:p w14:paraId="24E3E97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a.按照评标总得分（FA）由高到低顺序排列。</w:t>
      </w:r>
    </w:p>
    <w:p w14:paraId="4003157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b.评标总得分（FA）相同的，按照评标价由</w:t>
      </w:r>
      <w:r>
        <w:rPr>
          <w:rFonts w:hint="eastAsia" w:ascii="宋体" w:hAnsi="宋体" w:eastAsia="宋体" w:cs="宋体"/>
          <w:b w:val="0"/>
          <w:bCs/>
          <w:color w:val="auto"/>
          <w:sz w:val="24"/>
          <w:szCs w:val="24"/>
          <w:highlight w:val="none"/>
          <w:lang w:eastAsia="zh-CN"/>
        </w:rPr>
        <w:t>高</w:t>
      </w:r>
      <w:r>
        <w:rPr>
          <w:rFonts w:hint="eastAsia" w:ascii="宋体" w:hAnsi="宋体" w:eastAsia="宋体" w:cs="宋体"/>
          <w:b w:val="0"/>
          <w:bCs/>
          <w:color w:val="auto"/>
          <w:sz w:val="24"/>
          <w:szCs w:val="24"/>
          <w:highlight w:val="none"/>
        </w:rPr>
        <w:t>到</w:t>
      </w:r>
      <w:r>
        <w:rPr>
          <w:rFonts w:hint="eastAsia" w:ascii="宋体" w:hAnsi="宋体" w:eastAsia="宋体" w:cs="宋体"/>
          <w:b w:val="0"/>
          <w:bCs/>
          <w:color w:val="auto"/>
          <w:sz w:val="24"/>
          <w:szCs w:val="24"/>
          <w:highlight w:val="none"/>
          <w:lang w:eastAsia="zh-CN"/>
        </w:rPr>
        <w:t>低</w:t>
      </w:r>
      <w:r>
        <w:rPr>
          <w:rFonts w:hint="eastAsia" w:ascii="宋体" w:hAnsi="宋体" w:eastAsia="宋体" w:cs="宋体"/>
          <w:b w:val="0"/>
          <w:bCs/>
          <w:color w:val="auto"/>
          <w:sz w:val="24"/>
          <w:szCs w:val="24"/>
          <w:highlight w:val="none"/>
        </w:rPr>
        <w:t>顺序排列。</w:t>
      </w:r>
    </w:p>
    <w:p w14:paraId="0B2C30E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c.评标总得分（FA）且评标价相同的并列。</w:t>
      </w:r>
    </w:p>
    <w:p w14:paraId="11B8F6E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8、其他规定</w:t>
      </w:r>
    </w:p>
    <w:p w14:paraId="558A0D0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8.1评标应全程保密且不得透露给任一投标人或与评标工作无关的人员。</w:t>
      </w:r>
    </w:p>
    <w:p w14:paraId="2C348BF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8.2评标将进行全程实时录音录像，录音录像资料随采购文件一并存档。</w:t>
      </w:r>
    </w:p>
    <w:p w14:paraId="5A70666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8.3若投标人有任何试图干扰具体评标事务，影响评标委员会独立履行职责的行为，其投标无效且不予退还投标保证金或通过投标保函进行索赔。</w:t>
      </w:r>
    </w:p>
    <w:p w14:paraId="18A586E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8.4其他：无</w:t>
      </w:r>
    </w:p>
    <w:p w14:paraId="02AD228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0727BEA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170A8BD">
      <w:pPr>
        <w:pStyle w:val="18"/>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highlight w:val="none"/>
        </w:rPr>
      </w:pPr>
      <w:bookmarkStart w:id="57" w:name="_Toc27959"/>
      <w:bookmarkStart w:id="58" w:name="_Toc1086"/>
      <w:bookmarkStart w:id="59" w:name="_Toc8754"/>
      <w:bookmarkStart w:id="60" w:name="_Toc1525"/>
      <w:bookmarkStart w:id="61" w:name="_Toc18638"/>
      <w:bookmarkStart w:id="62" w:name="_Toc143177698"/>
      <w:bookmarkStart w:id="63" w:name="_Toc27844"/>
      <w:bookmarkStart w:id="64" w:name="_Toc143178228"/>
      <w:bookmarkStart w:id="65" w:name="_Toc30415"/>
      <w:r>
        <w:rPr>
          <w:rFonts w:hint="eastAsia" w:ascii="宋体" w:hAnsi="宋体" w:eastAsia="宋体" w:cs="宋体"/>
          <w:color w:val="auto"/>
          <w:highlight w:val="none"/>
        </w:rPr>
        <w:t>第五章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招标内容及要求</w:t>
      </w:r>
      <w:bookmarkEnd w:id="57"/>
      <w:bookmarkEnd w:id="58"/>
      <w:bookmarkEnd w:id="59"/>
      <w:bookmarkEnd w:id="60"/>
      <w:bookmarkEnd w:id="61"/>
      <w:bookmarkEnd w:id="62"/>
      <w:bookmarkEnd w:id="63"/>
      <w:bookmarkEnd w:id="64"/>
      <w:bookmarkEnd w:id="65"/>
    </w:p>
    <w:p w14:paraId="2FE9A41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一、项目概况（采购标的）</w:t>
      </w:r>
    </w:p>
    <w:p w14:paraId="6A16D9B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1、本次招标采购项目为福州大学附属省立医院东街、金山院区自助售卖机投放经营权出租项目。投标人须在院方指定位置安装自助售卖机，定期维护保养，并提供日常相关运营服务。</w:t>
      </w:r>
    </w:p>
    <w:p w14:paraId="27E0175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2、本次项目要求投标人提供的货物必须是全新生产且通过合法渠道获得的产品。产品的制造标准及技术规范等有关资料必须符合国家相关标准、规范要求。</w:t>
      </w:r>
    </w:p>
    <w:p w14:paraId="3507117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3、购买结算方式至少应包含现金、微信和支付宝。</w:t>
      </w:r>
    </w:p>
    <w:p w14:paraId="5596CAB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color w:val="auto"/>
          <w:sz w:val="24"/>
          <w:szCs w:val="24"/>
          <w:highlight w:val="none"/>
        </w:rPr>
      </w:pPr>
    </w:p>
    <w:p w14:paraId="2C0588F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二、技术和服务要求（以“★”标示的内容为不允许负偏离的实质性要求）</w:t>
      </w:r>
    </w:p>
    <w:p w14:paraId="121031FC">
      <w:pPr>
        <w:keepNext w:val="0"/>
        <w:keepLines w:val="0"/>
        <w:pageBreakBefore w:val="0"/>
        <w:widowControl/>
        <w:kinsoku/>
        <w:wordWrap/>
        <w:overflowPunct/>
        <w:topLinePunct w:val="0"/>
        <w:autoSpaceDE/>
        <w:autoSpaceDN/>
        <w:bidi w:val="0"/>
        <w:adjustRightInd/>
        <w:snapToGrid/>
        <w:spacing w:before="0" w:after="0" w:line="360" w:lineRule="auto"/>
        <w:ind w:firstLine="482" w:firstLineChars="200"/>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品目号1：福州大学附属省立医院东街院区自助售卖机投放经营权出租</w:t>
      </w:r>
    </w:p>
    <w:p w14:paraId="0D00FCCB">
      <w:pPr>
        <w:keepNext w:val="0"/>
        <w:keepLines w:val="0"/>
        <w:pageBreakBefore w:val="0"/>
        <w:widowControl/>
        <w:numPr>
          <w:ilvl w:val="-1"/>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1、东街院区（福建省福州市鼓楼区东街134号）</w:t>
      </w:r>
      <w:r>
        <w:rPr>
          <w:rFonts w:hint="eastAsia" w:ascii="宋体" w:hAnsi="宋体" w:eastAsia="宋体" w:cs="宋体"/>
          <w:bCs/>
          <w:color w:val="auto"/>
          <w:sz w:val="24"/>
          <w:highlight w:val="none"/>
        </w:rPr>
        <w:t>点位分布：急诊抢救大厅</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急诊输液厅</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1号楼大厅</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2号楼7层</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2号楼8层</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3号楼大厅</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3号楼3层手术室</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3号楼3层手术家属等候室</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3号楼1层简易门诊</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6号楼大厅</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6号楼手术室</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6号楼3层手术家属等候室</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u w:val="none"/>
        </w:rPr>
        <w:t>3</w:t>
      </w:r>
      <w:r>
        <w:rPr>
          <w:rFonts w:hint="eastAsia" w:ascii="宋体" w:hAnsi="宋体" w:eastAsia="宋体" w:cs="宋体"/>
          <w:bCs/>
          <w:color w:val="auto"/>
          <w:sz w:val="24"/>
          <w:highlight w:val="none"/>
          <w:u w:val="none"/>
          <w:lang w:val="en-US" w:eastAsia="zh-CN"/>
        </w:rPr>
        <w:t>号楼和</w:t>
      </w:r>
      <w:r>
        <w:rPr>
          <w:rFonts w:hint="eastAsia" w:ascii="宋体" w:hAnsi="宋体" w:eastAsia="宋体" w:cs="宋体"/>
          <w:bCs/>
          <w:color w:val="auto"/>
          <w:sz w:val="24"/>
          <w:highlight w:val="none"/>
          <w:u w:val="none"/>
        </w:rPr>
        <w:t>6</w:t>
      </w:r>
      <w:r>
        <w:rPr>
          <w:rFonts w:hint="eastAsia" w:ascii="宋体" w:hAnsi="宋体" w:eastAsia="宋体" w:cs="宋体"/>
          <w:bCs/>
          <w:color w:val="auto"/>
          <w:sz w:val="24"/>
          <w:highlight w:val="none"/>
          <w:u w:val="none"/>
          <w:lang w:val="en-US" w:eastAsia="zh-CN"/>
        </w:rPr>
        <w:t>号</w:t>
      </w:r>
      <w:r>
        <w:rPr>
          <w:rFonts w:hint="eastAsia" w:ascii="宋体" w:hAnsi="宋体" w:eastAsia="宋体" w:cs="宋体"/>
          <w:bCs/>
          <w:color w:val="auto"/>
          <w:sz w:val="24"/>
          <w:highlight w:val="none"/>
          <w:u w:val="none"/>
        </w:rPr>
        <w:t>楼连廊下</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8号楼3层大厅</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10号楼1层</w:t>
      </w:r>
      <w:r>
        <w:rPr>
          <w:rFonts w:hint="eastAsia" w:ascii="宋体" w:hAnsi="宋体" w:eastAsia="宋体" w:cs="宋体"/>
          <w:bCs/>
          <w:color w:val="auto"/>
          <w:kern w:val="2"/>
          <w:sz w:val="24"/>
          <w:szCs w:val="22"/>
          <w:highlight w:val="none"/>
          <w:lang w:val="en-US" w:eastAsia="zh-CN" w:bidi="ar-SA"/>
        </w:rPr>
        <w:t>。以上点位各安装</w:t>
      </w:r>
      <w:r>
        <w:rPr>
          <w:rFonts w:hint="eastAsia" w:ascii="宋体" w:hAnsi="宋体" w:eastAsia="宋体" w:cs="宋体"/>
          <w:bCs/>
          <w:color w:val="auto"/>
          <w:sz w:val="24"/>
          <w:highlight w:val="none"/>
        </w:rPr>
        <w:t>1台</w:t>
      </w:r>
      <w:r>
        <w:rPr>
          <w:rFonts w:hint="eastAsia" w:ascii="宋体" w:hAnsi="宋体" w:eastAsia="宋体" w:cs="宋体"/>
          <w:bCs/>
          <w:color w:val="auto"/>
          <w:sz w:val="24"/>
          <w:highlight w:val="none"/>
          <w:lang w:eastAsia="zh-CN"/>
        </w:rPr>
        <w:t>自助售卖机</w:t>
      </w:r>
      <w:r>
        <w:rPr>
          <w:rFonts w:hint="eastAsia" w:ascii="宋体" w:hAnsi="宋体" w:eastAsia="宋体" w:cs="宋体"/>
          <w:bCs/>
          <w:color w:val="auto"/>
          <w:sz w:val="24"/>
          <w:highlight w:val="none"/>
        </w:rPr>
        <w:t>。</w:t>
      </w:r>
    </w:p>
    <w:p w14:paraId="06A848F6">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2、投标人按照以上点位（</w:t>
      </w:r>
      <w:r>
        <w:rPr>
          <w:rFonts w:hint="eastAsia" w:ascii="宋体" w:hAnsi="宋体" w:eastAsia="宋体" w:cs="宋体"/>
          <w:color w:val="auto"/>
          <w:sz w:val="24"/>
          <w:szCs w:val="24"/>
          <w:highlight w:val="none"/>
          <w:lang w:val="en-US" w:eastAsia="zh-CN"/>
        </w:rPr>
        <w:t>每个点位占地面积约2㎡</w:t>
      </w:r>
      <w:r>
        <w:rPr>
          <w:rFonts w:hint="eastAsia" w:ascii="宋体" w:hAnsi="宋体" w:eastAsia="宋体" w:cs="宋体"/>
          <w:bCs/>
          <w:color w:val="auto"/>
          <w:sz w:val="24"/>
          <w:highlight w:val="none"/>
          <w:lang w:val="en-US" w:eastAsia="zh-CN"/>
        </w:rPr>
        <w:t>）进行自助售卖机投放布点，在未经采购人许可的情况下不得随意变更投放点。</w:t>
      </w:r>
    </w:p>
    <w:p w14:paraId="6CCBCBC3">
      <w:pPr>
        <w:keepNext w:val="0"/>
        <w:keepLines w:val="0"/>
        <w:pageBreakBefore w:val="0"/>
        <w:widowControl/>
        <w:kinsoku/>
        <w:wordWrap/>
        <w:overflowPunct/>
        <w:topLinePunct w:val="0"/>
        <w:autoSpaceDE/>
        <w:autoSpaceDN/>
        <w:bidi w:val="0"/>
        <w:adjustRightInd/>
        <w:snapToGrid/>
        <w:spacing w:before="0" w:after="0" w:line="360" w:lineRule="auto"/>
        <w:ind w:firstLine="241" w:firstLineChars="100"/>
        <w:textAlignment w:val="auto"/>
        <w:rPr>
          <w:rFonts w:hint="eastAsia" w:ascii="宋体" w:hAnsi="宋体" w:eastAsia="宋体" w:cs="宋体"/>
          <w:bCs/>
          <w:color w:val="auto"/>
          <w:sz w:val="24"/>
          <w:highlight w:val="none"/>
          <w:lang w:val="en-US" w:eastAsia="zh-CN"/>
        </w:rPr>
      </w:pPr>
      <w:r>
        <w:rPr>
          <w:rStyle w:val="25"/>
          <w:rFonts w:hint="eastAsia" w:ascii="宋体" w:hAnsi="宋体" w:eastAsia="宋体" w:cs="宋体"/>
          <w:color w:val="auto"/>
          <w:highlight w:val="none"/>
          <w:lang w:eastAsia="zh-CN"/>
        </w:rPr>
        <w:t>★</w:t>
      </w:r>
      <w:r>
        <w:rPr>
          <w:rFonts w:hint="eastAsia" w:ascii="宋体" w:hAnsi="宋体" w:eastAsia="宋体" w:cs="宋体"/>
          <w:bCs/>
          <w:color w:val="auto"/>
          <w:sz w:val="24"/>
          <w:highlight w:val="none"/>
          <w:lang w:val="en-US" w:eastAsia="zh-CN"/>
        </w:rPr>
        <w:t>3、采购人有权根据实际需求情况进行投放点的调整、增加或减少。投放点增加或减少数量按照投标单价签订补充协议。</w:t>
      </w:r>
    </w:p>
    <w:p w14:paraId="580F3180">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4、投标人自助售卖机的安装占地面积应该根据现场场地条件，经采购人确认后安装，不得影响正常的医疗、诊疗秩序。所有点位投放的</w:t>
      </w:r>
      <w:r>
        <w:rPr>
          <w:rFonts w:ascii="Segoe UI" w:hAnsi="Segoe UI" w:eastAsia="Segoe UI" w:cs="Segoe UI"/>
          <w:i w:val="0"/>
          <w:iCs w:val="0"/>
          <w:caps w:val="0"/>
          <w:color w:val="auto"/>
          <w:spacing w:val="0"/>
          <w:sz w:val="24"/>
          <w:szCs w:val="24"/>
          <w:highlight w:val="none"/>
          <w:shd w:val="clear" w:fill="FFFFFF"/>
        </w:rPr>
        <w:t>自</w:t>
      </w:r>
      <w:r>
        <w:rPr>
          <w:rFonts w:hint="eastAsia" w:ascii="Segoe UI" w:hAnsi="Segoe UI" w:eastAsia="宋体" w:cs="Segoe UI"/>
          <w:i w:val="0"/>
          <w:iCs w:val="0"/>
          <w:caps w:val="0"/>
          <w:color w:val="auto"/>
          <w:spacing w:val="0"/>
          <w:sz w:val="24"/>
          <w:szCs w:val="24"/>
          <w:highlight w:val="none"/>
          <w:shd w:val="clear" w:fill="FFFFFF"/>
          <w:lang w:val="en-US" w:eastAsia="zh-CN"/>
        </w:rPr>
        <w:t>助</w:t>
      </w:r>
      <w:r>
        <w:rPr>
          <w:rFonts w:ascii="Segoe UI" w:hAnsi="Segoe UI" w:eastAsia="Segoe UI" w:cs="Segoe UI"/>
          <w:i w:val="0"/>
          <w:iCs w:val="0"/>
          <w:caps w:val="0"/>
          <w:color w:val="auto"/>
          <w:spacing w:val="0"/>
          <w:sz w:val="24"/>
          <w:szCs w:val="24"/>
          <w:highlight w:val="none"/>
          <w:shd w:val="clear" w:fill="FFFFFF"/>
        </w:rPr>
        <w:t>售卖机规格</w:t>
      </w:r>
      <w:r>
        <w:rPr>
          <w:rFonts w:hint="eastAsia" w:ascii="Segoe UI" w:hAnsi="Segoe UI" w:eastAsia="宋体" w:cs="Segoe UI"/>
          <w:i w:val="0"/>
          <w:iCs w:val="0"/>
          <w:caps w:val="0"/>
          <w:color w:val="auto"/>
          <w:spacing w:val="0"/>
          <w:sz w:val="24"/>
          <w:szCs w:val="24"/>
          <w:highlight w:val="none"/>
          <w:shd w:val="clear" w:fill="FFFFFF"/>
          <w:lang w:val="en-US" w:eastAsia="zh-CN"/>
        </w:rPr>
        <w:t>需</w:t>
      </w:r>
      <w:r>
        <w:rPr>
          <w:rFonts w:ascii="Segoe UI" w:hAnsi="Segoe UI" w:eastAsia="Segoe UI" w:cs="Segoe UI"/>
          <w:i w:val="0"/>
          <w:iCs w:val="0"/>
          <w:caps w:val="0"/>
          <w:color w:val="auto"/>
          <w:spacing w:val="0"/>
          <w:sz w:val="24"/>
          <w:szCs w:val="24"/>
          <w:highlight w:val="none"/>
          <w:shd w:val="clear" w:fill="FFFFFF"/>
        </w:rPr>
        <w:t>统一，外观、货品陈列需契合医院场景，安装前须经采购人确认外观，确保视觉协调统一。</w:t>
      </w:r>
    </w:p>
    <w:p w14:paraId="3D0B6D0B">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5、对于自助售卖机所涉及知识产权、专利权等一切法律相关问题由投标人自行负责。如因自助售卖机问题引起的一切纠纷、人身安全损害由中标人承担。</w:t>
      </w:r>
    </w:p>
    <w:p w14:paraId="6F1ECF43">
      <w:pPr>
        <w:keepNext w:val="0"/>
        <w:keepLines w:val="0"/>
        <w:pageBreakBefore w:val="0"/>
        <w:widowControl/>
        <w:numPr>
          <w:ilvl w:val="-1"/>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微软雅黑"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投标人须确保自助售卖机所售货品均来自具备合法资质的生产者或销售者，且货品来源可追溯。投标人须遵守《中华人民共和国产品质量法》等相关法律法规，若因货品质量不合格、不符合标准、超过保质期、来源不可追溯或存在其他安全隐患，导致食品安全事故、产品质量责任事故或其他法律纠纷，投标人须承担全部法律责任（包括但不限于民事赔偿、行政处罚、刑事责任等），并赔偿采购人及第三方因此遭受的全部损失（包括直接损失、间接损失、维权成本等）。</w:t>
      </w:r>
    </w:p>
    <w:p w14:paraId="51C81E7C">
      <w:pPr>
        <w:spacing w:before="0" w:after="0"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注：</w:t>
      </w:r>
      <w:r>
        <w:rPr>
          <w:rFonts w:ascii="Segoe UI" w:hAnsi="Segoe UI" w:eastAsia="Segoe UI" w:cs="Segoe UI"/>
          <w:i w:val="0"/>
          <w:iCs w:val="0"/>
          <w:caps w:val="0"/>
          <w:color w:val="auto"/>
          <w:spacing w:val="0"/>
          <w:sz w:val="24"/>
          <w:szCs w:val="24"/>
          <w:highlight w:val="none"/>
          <w:shd w:val="clear" w:fill="FFFFFF"/>
        </w:rPr>
        <w:t>自</w:t>
      </w:r>
      <w:r>
        <w:rPr>
          <w:rFonts w:hint="eastAsia" w:ascii="Segoe UI" w:hAnsi="Segoe UI" w:eastAsia="宋体" w:cs="Segoe UI"/>
          <w:i w:val="0"/>
          <w:iCs w:val="0"/>
          <w:caps w:val="0"/>
          <w:color w:val="auto"/>
          <w:spacing w:val="0"/>
          <w:sz w:val="24"/>
          <w:szCs w:val="24"/>
          <w:highlight w:val="none"/>
          <w:shd w:val="clear" w:fill="FFFFFF"/>
          <w:lang w:val="en-US" w:eastAsia="zh-CN"/>
        </w:rPr>
        <w:t>助</w:t>
      </w:r>
      <w:r>
        <w:rPr>
          <w:rFonts w:ascii="Segoe UI" w:hAnsi="Segoe UI" w:eastAsia="Segoe UI" w:cs="Segoe UI"/>
          <w:i w:val="0"/>
          <w:iCs w:val="0"/>
          <w:caps w:val="0"/>
          <w:color w:val="auto"/>
          <w:spacing w:val="0"/>
          <w:sz w:val="24"/>
          <w:szCs w:val="24"/>
          <w:highlight w:val="none"/>
          <w:shd w:val="clear" w:fill="FFFFFF"/>
        </w:rPr>
        <w:t>售卖机</w:t>
      </w:r>
      <w:r>
        <w:rPr>
          <w:rFonts w:hint="eastAsia" w:ascii="Segoe UI" w:hAnsi="Segoe UI" w:eastAsia="宋体" w:cs="Segoe UI"/>
          <w:i w:val="0"/>
          <w:iCs w:val="0"/>
          <w:caps w:val="0"/>
          <w:color w:val="auto"/>
          <w:spacing w:val="0"/>
          <w:sz w:val="24"/>
          <w:szCs w:val="24"/>
          <w:highlight w:val="none"/>
          <w:shd w:val="clear" w:fill="FFFFFF"/>
          <w:lang w:val="en-US" w:eastAsia="zh-CN"/>
        </w:rPr>
        <w:t>所售食品</w:t>
      </w:r>
      <w:r>
        <w:rPr>
          <w:rFonts w:hint="eastAsia" w:ascii="宋体" w:hAnsi="宋体" w:eastAsia="宋体" w:cs="宋体"/>
          <w:color w:val="auto"/>
          <w:kern w:val="0"/>
          <w:sz w:val="24"/>
          <w:highlight w:val="none"/>
          <w:lang w:val="en-US" w:eastAsia="zh-CN"/>
        </w:rPr>
        <w:t>仅限于预包装食品，投标人需严格遵守《中华人民共和国食品安全法》及《食品经营许可和备案管理办法》等相关法律法规。</w:t>
      </w:r>
      <w:r>
        <w:rPr>
          <w:rFonts w:ascii="Segoe UI" w:hAnsi="Segoe UI" w:eastAsia="Segoe UI" w:cs="Segoe UI"/>
          <w:i w:val="0"/>
          <w:iCs w:val="0"/>
          <w:caps w:val="0"/>
          <w:color w:val="auto"/>
          <w:spacing w:val="0"/>
          <w:sz w:val="24"/>
          <w:szCs w:val="24"/>
          <w:highlight w:val="none"/>
          <w:shd w:val="clear" w:fill="FFFFFF"/>
        </w:rPr>
        <w:t>自</w:t>
      </w:r>
      <w:r>
        <w:rPr>
          <w:rFonts w:hint="eastAsia" w:ascii="Segoe UI" w:hAnsi="Segoe UI" w:eastAsia="宋体" w:cs="Segoe UI"/>
          <w:i w:val="0"/>
          <w:iCs w:val="0"/>
          <w:caps w:val="0"/>
          <w:color w:val="auto"/>
          <w:spacing w:val="0"/>
          <w:sz w:val="24"/>
          <w:szCs w:val="24"/>
          <w:highlight w:val="none"/>
          <w:shd w:val="clear" w:fill="FFFFFF"/>
          <w:lang w:val="en-US" w:eastAsia="zh-CN"/>
        </w:rPr>
        <w:t>助</w:t>
      </w:r>
      <w:r>
        <w:rPr>
          <w:rFonts w:ascii="Segoe UI" w:hAnsi="Segoe UI" w:eastAsia="Segoe UI" w:cs="Segoe UI"/>
          <w:i w:val="0"/>
          <w:iCs w:val="0"/>
          <w:caps w:val="0"/>
          <w:color w:val="auto"/>
          <w:spacing w:val="0"/>
          <w:sz w:val="24"/>
          <w:szCs w:val="24"/>
          <w:highlight w:val="none"/>
          <w:shd w:val="clear" w:fill="FFFFFF"/>
        </w:rPr>
        <w:t>售卖机</w:t>
      </w:r>
      <w:r>
        <w:rPr>
          <w:rFonts w:hint="eastAsia" w:ascii="宋体" w:hAnsi="宋体" w:eastAsia="宋体" w:cs="宋体"/>
          <w:color w:val="auto"/>
          <w:kern w:val="0"/>
          <w:sz w:val="24"/>
          <w:highlight w:val="none"/>
          <w:lang w:val="en-US" w:eastAsia="zh-CN"/>
        </w:rPr>
        <w:t>所售医疗器械产品仅限于第一类医疗器械，投标人需严格遵守《医疗器械监督管理条例》和《医疗器械经营监督管理办法》等相关法律法规。</w:t>
      </w:r>
    </w:p>
    <w:p w14:paraId="1338FF20">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7、所售商品需在医院备案，且售价不得高于周边1公里范围内</w:t>
      </w:r>
      <w:r>
        <w:rPr>
          <w:rFonts w:hint="default" w:ascii="宋体" w:hAnsi="宋体" w:eastAsia="宋体" w:cs="宋体"/>
          <w:color w:val="auto"/>
          <w:kern w:val="0"/>
          <w:sz w:val="24"/>
          <w:highlight w:val="none"/>
          <w:lang w:val="en-US" w:eastAsia="zh-CN"/>
        </w:rPr>
        <w:t>连锁超市、便利店等主流零售渠道同类商品</w:t>
      </w:r>
      <w:r>
        <w:rPr>
          <w:rFonts w:hint="eastAsia" w:ascii="宋体" w:hAnsi="宋体" w:eastAsia="宋体" w:cs="宋体"/>
          <w:color w:val="auto"/>
          <w:kern w:val="0"/>
          <w:sz w:val="24"/>
          <w:highlight w:val="none"/>
          <w:lang w:val="en-US" w:eastAsia="zh-CN"/>
        </w:rPr>
        <w:t>零售价</w:t>
      </w:r>
      <w:r>
        <w:rPr>
          <w:rFonts w:hint="eastAsia" w:ascii="宋体" w:hAnsi="宋体" w:eastAsia="宋体" w:cs="宋体"/>
          <w:color w:val="auto"/>
          <w:kern w:val="0"/>
          <w:sz w:val="24"/>
          <w:highlight w:val="none"/>
          <w:lang w:val="en-US" w:eastAsia="zh-CN"/>
        </w:rPr>
        <w:t>，采购人有权对自助售卖机内所售商品价格进行监管，若发现售价偏高有权要求中标人整改，中标人须在接到采购人通知后3个工作日内调整价格，中标人未及时整改达3次，采购人有权单方面解除合同。中标人须根据自助售卖机销售情况及时补货，</w:t>
      </w:r>
      <w:r>
        <w:rPr>
          <w:rFonts w:hint="default" w:ascii="宋体" w:hAnsi="宋体" w:eastAsia="宋体" w:cs="宋体"/>
          <w:color w:val="auto"/>
          <w:kern w:val="0"/>
          <w:sz w:val="24"/>
          <w:highlight w:val="none"/>
          <w:lang w:val="en-US" w:eastAsia="zh-CN"/>
        </w:rPr>
        <w:t>原则上每日至少补货一次；因特殊情况（如库存充足、物流中断等）需调整补货频率的，须提前1个工作日告知采购人并征得同意。</w:t>
      </w:r>
    </w:p>
    <w:p w14:paraId="19A1708B">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自助售卖机在服务合同履行期间产生的电费由中标人承担，每台售卖机安装独立电表，电费按1元/度向采购人缴交，在服务期内每半年缴交一次，中标人应在缴交期到达前7天向采购人提交每天售卖机电表读数及实际电量使用明细汇总表，待采购人确认后按确认金额进行缴交。</w:t>
      </w:r>
    </w:p>
    <w:p w14:paraId="5841D0BB">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sz w:val="24"/>
          <w:highlight w:val="none"/>
          <w:lang w:val="en-US" w:eastAsia="zh-CN"/>
        </w:rPr>
        <w:t>9、投标人须承诺至少有3处地点可根据医院需求，摆放各种特殊要求的产品，如发包人指定</w:t>
      </w:r>
      <w:r>
        <w:rPr>
          <w:rFonts w:hint="eastAsia" w:ascii="宋体" w:hAnsi="宋体" w:eastAsia="宋体" w:cs="宋体"/>
          <w:color w:val="auto"/>
          <w:kern w:val="0"/>
          <w:sz w:val="24"/>
          <w:highlight w:val="none"/>
          <w:lang w:val="en-US" w:eastAsia="zh-CN"/>
        </w:rPr>
        <w:t>的医疗器械产品、尿壶、脸盆等患者所需的日用品。</w:t>
      </w:r>
    </w:p>
    <w:p w14:paraId="0F6C4FA5">
      <w:pPr>
        <w:spacing w:before="0" w:after="0" w:line="360" w:lineRule="auto"/>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10、投标人需确保货品品类的丰富度，根据医院场景的消费特点和季节变化，动态优化货品结构，定期淘汰滞销品，引入符合消费者需求的新品，以提升消费者购物体验。</w:t>
      </w:r>
    </w:p>
    <w:p w14:paraId="782344ED">
      <w:pPr>
        <w:keepNext w:val="0"/>
        <w:keepLines w:val="0"/>
        <w:pageBreakBefore w:val="0"/>
        <w:widowControl/>
        <w:kinsoku/>
        <w:wordWrap/>
        <w:overflowPunct/>
        <w:topLinePunct w:val="0"/>
        <w:autoSpaceDE/>
        <w:autoSpaceDN/>
        <w:bidi w:val="0"/>
        <w:adjustRightInd/>
        <w:snapToGrid/>
        <w:spacing w:before="0" w:after="0" w:line="360" w:lineRule="auto"/>
        <w:ind w:firstLine="482" w:firstLineChars="200"/>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品目号2：福州大学附属省立医院金山院区自助售卖机投放经营权出租</w:t>
      </w:r>
    </w:p>
    <w:p w14:paraId="0EEB441A">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kern w:val="2"/>
          <w:sz w:val="24"/>
          <w:szCs w:val="22"/>
          <w:highlight w:val="none"/>
          <w:lang w:val="en-US" w:eastAsia="zh-CN" w:bidi="ar-SA"/>
        </w:rPr>
        <w:t>金山医院（福建省福州市仓山区金榕南路516号）</w:t>
      </w:r>
      <w:r>
        <w:rPr>
          <w:rFonts w:hint="eastAsia" w:ascii="宋体" w:hAnsi="宋体" w:eastAsia="宋体" w:cs="宋体"/>
          <w:bCs/>
          <w:color w:val="auto"/>
          <w:sz w:val="24"/>
          <w:highlight w:val="none"/>
        </w:rPr>
        <w:t>点位分布</w:t>
      </w:r>
      <w:r>
        <w:rPr>
          <w:rFonts w:hint="eastAsia" w:ascii="宋体" w:hAnsi="宋体" w:eastAsia="宋体" w:cs="宋体"/>
          <w:bCs/>
          <w:color w:val="auto"/>
          <w:kern w:val="2"/>
          <w:sz w:val="24"/>
          <w:szCs w:val="22"/>
          <w:highlight w:val="none"/>
          <w:lang w:val="en-US" w:eastAsia="zh-CN" w:bidi="ar-SA"/>
        </w:rPr>
        <w:t>：1号楼1层大厅、1号楼2层大厅、2号楼住院部1层大厅、2号楼1层门诊大厅药房、2号楼1层放射科候诊区、2号楼1层急诊科、2号楼急诊输液厅、2号楼2层胃镜室、2号楼5层产科、3号楼1层门诊、3号楼住院部1层大厅、3号楼3层手术室、3号楼3层手术家属等候室、9号楼1层。以上点位各安装1台自助售卖机。</w:t>
      </w:r>
    </w:p>
    <w:p w14:paraId="095E449F">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2、投标人按照以上点位（</w:t>
      </w:r>
      <w:r>
        <w:rPr>
          <w:rFonts w:hint="eastAsia" w:ascii="宋体" w:hAnsi="宋体" w:eastAsia="宋体" w:cs="宋体"/>
          <w:color w:val="auto"/>
          <w:sz w:val="24"/>
          <w:szCs w:val="24"/>
          <w:highlight w:val="none"/>
          <w:lang w:val="en-US" w:eastAsia="zh-CN"/>
        </w:rPr>
        <w:t>每个点位占地面积约2㎡</w:t>
      </w:r>
      <w:r>
        <w:rPr>
          <w:rFonts w:hint="eastAsia" w:ascii="宋体" w:hAnsi="宋体" w:eastAsia="宋体" w:cs="宋体"/>
          <w:bCs/>
          <w:color w:val="auto"/>
          <w:sz w:val="24"/>
          <w:highlight w:val="none"/>
          <w:lang w:val="en-US" w:eastAsia="zh-CN"/>
        </w:rPr>
        <w:t>）进行自助售卖机投放布点，在未经采购人许可的情况下不得随意变更投放点。</w:t>
      </w:r>
    </w:p>
    <w:p w14:paraId="7CDA0546">
      <w:pPr>
        <w:keepNext w:val="0"/>
        <w:keepLines w:val="0"/>
        <w:pageBreakBefore w:val="0"/>
        <w:widowControl/>
        <w:kinsoku/>
        <w:wordWrap/>
        <w:overflowPunct/>
        <w:topLinePunct w:val="0"/>
        <w:autoSpaceDE/>
        <w:autoSpaceDN/>
        <w:bidi w:val="0"/>
        <w:adjustRightInd/>
        <w:snapToGrid/>
        <w:spacing w:before="0" w:after="0" w:line="360" w:lineRule="auto"/>
        <w:ind w:firstLine="241" w:firstLineChars="100"/>
        <w:textAlignment w:val="auto"/>
        <w:rPr>
          <w:rFonts w:hint="eastAsia" w:ascii="宋体" w:hAnsi="宋体" w:eastAsia="宋体" w:cs="宋体"/>
          <w:bCs/>
          <w:color w:val="auto"/>
          <w:sz w:val="24"/>
          <w:highlight w:val="none"/>
          <w:lang w:val="en-US" w:eastAsia="zh-CN"/>
        </w:rPr>
      </w:pPr>
      <w:r>
        <w:rPr>
          <w:rStyle w:val="25"/>
          <w:rFonts w:hint="eastAsia" w:ascii="宋体" w:hAnsi="宋体" w:eastAsia="宋体" w:cs="宋体"/>
          <w:color w:val="auto"/>
          <w:highlight w:val="none"/>
          <w:lang w:eastAsia="zh-CN"/>
        </w:rPr>
        <w:t>★</w:t>
      </w:r>
      <w:r>
        <w:rPr>
          <w:rFonts w:hint="eastAsia" w:ascii="宋体" w:hAnsi="宋体" w:eastAsia="宋体" w:cs="宋体"/>
          <w:bCs/>
          <w:color w:val="auto"/>
          <w:sz w:val="24"/>
          <w:highlight w:val="none"/>
          <w:lang w:val="en-US" w:eastAsia="zh-CN"/>
        </w:rPr>
        <w:t>3、采购人有权根据实际需求情况进行投放点的调整、增加或减少。投放点增加或减少数量按照投标单价签订补充协议。</w:t>
      </w:r>
    </w:p>
    <w:p w14:paraId="6975BB2D">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4、投标人自助售卖机的安装占地面积应该根据现场场地条件，经采购人确认后安装，不得影响正常的医疗、诊疗秩序。所有点位投放的</w:t>
      </w:r>
      <w:r>
        <w:rPr>
          <w:rFonts w:ascii="Segoe UI" w:hAnsi="Segoe UI" w:eastAsia="Segoe UI" w:cs="Segoe UI"/>
          <w:i w:val="0"/>
          <w:iCs w:val="0"/>
          <w:caps w:val="0"/>
          <w:color w:val="auto"/>
          <w:spacing w:val="0"/>
          <w:sz w:val="24"/>
          <w:szCs w:val="24"/>
          <w:highlight w:val="none"/>
          <w:shd w:val="clear" w:fill="FFFFFF"/>
        </w:rPr>
        <w:t>自</w:t>
      </w:r>
      <w:r>
        <w:rPr>
          <w:rFonts w:hint="eastAsia" w:ascii="Segoe UI" w:hAnsi="Segoe UI" w:eastAsia="宋体" w:cs="Segoe UI"/>
          <w:i w:val="0"/>
          <w:iCs w:val="0"/>
          <w:caps w:val="0"/>
          <w:color w:val="auto"/>
          <w:spacing w:val="0"/>
          <w:sz w:val="24"/>
          <w:szCs w:val="24"/>
          <w:highlight w:val="none"/>
          <w:shd w:val="clear" w:fill="FFFFFF"/>
          <w:lang w:val="en-US" w:eastAsia="zh-CN"/>
        </w:rPr>
        <w:t>助</w:t>
      </w:r>
      <w:r>
        <w:rPr>
          <w:rFonts w:ascii="Segoe UI" w:hAnsi="Segoe UI" w:eastAsia="Segoe UI" w:cs="Segoe UI"/>
          <w:i w:val="0"/>
          <w:iCs w:val="0"/>
          <w:caps w:val="0"/>
          <w:color w:val="auto"/>
          <w:spacing w:val="0"/>
          <w:sz w:val="24"/>
          <w:szCs w:val="24"/>
          <w:highlight w:val="none"/>
          <w:shd w:val="clear" w:fill="FFFFFF"/>
        </w:rPr>
        <w:t>售卖机规格</w:t>
      </w:r>
      <w:r>
        <w:rPr>
          <w:rFonts w:hint="eastAsia" w:ascii="Segoe UI" w:hAnsi="Segoe UI" w:eastAsia="宋体" w:cs="Segoe UI"/>
          <w:i w:val="0"/>
          <w:iCs w:val="0"/>
          <w:caps w:val="0"/>
          <w:color w:val="auto"/>
          <w:spacing w:val="0"/>
          <w:sz w:val="24"/>
          <w:szCs w:val="24"/>
          <w:highlight w:val="none"/>
          <w:shd w:val="clear" w:fill="FFFFFF"/>
          <w:lang w:val="en-US" w:eastAsia="zh-CN"/>
        </w:rPr>
        <w:t>需</w:t>
      </w:r>
      <w:r>
        <w:rPr>
          <w:rFonts w:ascii="Segoe UI" w:hAnsi="Segoe UI" w:eastAsia="Segoe UI" w:cs="Segoe UI"/>
          <w:i w:val="0"/>
          <w:iCs w:val="0"/>
          <w:caps w:val="0"/>
          <w:color w:val="auto"/>
          <w:spacing w:val="0"/>
          <w:sz w:val="24"/>
          <w:szCs w:val="24"/>
          <w:highlight w:val="none"/>
          <w:shd w:val="clear" w:fill="FFFFFF"/>
        </w:rPr>
        <w:t>统一，外观、货品陈列需契合医院场景，安装前须经采购人确认外观，确保视觉协调统一。</w:t>
      </w:r>
    </w:p>
    <w:p w14:paraId="2653ACEE">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5、对于自助售卖机所涉及知识产权、专利权等一切法律相关问题由投标人自行负责。如因自助售卖机问题引起的一切纠纷、人身安全损害由中标人承担。</w:t>
      </w:r>
    </w:p>
    <w:p w14:paraId="4D5E66CD">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投标人须确保自助售卖机所售货品均来自具备合法资质的生产者或销售者，且货品来源可追溯。投标人须遵守《中华人民共和国产品质量法》等相关法律法规，若因货品质量不合格、不符合标准、超过保质期、来源不可追溯或存在其他安全隐患，导致食品安全事故、产品质量责任事故或其他法律纠纷，投标人须承担全部法律责任（包括但不限于民事赔偿、行政处罚、刑事责任等），并赔偿采购人及第三方因此遭受的全部损失（包括直接损失、间接损失、维权成本等）。</w:t>
      </w:r>
    </w:p>
    <w:p w14:paraId="79EF6A23">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注：</w:t>
      </w:r>
      <w:r>
        <w:rPr>
          <w:rFonts w:ascii="Segoe UI" w:hAnsi="Segoe UI" w:eastAsia="Segoe UI" w:cs="Segoe UI"/>
          <w:i w:val="0"/>
          <w:iCs w:val="0"/>
          <w:caps w:val="0"/>
          <w:color w:val="auto"/>
          <w:spacing w:val="0"/>
          <w:sz w:val="24"/>
          <w:szCs w:val="24"/>
          <w:highlight w:val="none"/>
          <w:shd w:val="clear" w:fill="FFFFFF"/>
        </w:rPr>
        <w:t>自</w:t>
      </w:r>
      <w:r>
        <w:rPr>
          <w:rFonts w:hint="eastAsia" w:ascii="Segoe UI" w:hAnsi="Segoe UI" w:eastAsia="宋体" w:cs="Segoe UI"/>
          <w:i w:val="0"/>
          <w:iCs w:val="0"/>
          <w:caps w:val="0"/>
          <w:color w:val="auto"/>
          <w:spacing w:val="0"/>
          <w:sz w:val="24"/>
          <w:szCs w:val="24"/>
          <w:highlight w:val="none"/>
          <w:shd w:val="clear" w:fill="FFFFFF"/>
          <w:lang w:val="en-US" w:eastAsia="zh-CN"/>
        </w:rPr>
        <w:t>助</w:t>
      </w:r>
      <w:r>
        <w:rPr>
          <w:rFonts w:ascii="Segoe UI" w:hAnsi="Segoe UI" w:eastAsia="Segoe UI" w:cs="Segoe UI"/>
          <w:i w:val="0"/>
          <w:iCs w:val="0"/>
          <w:caps w:val="0"/>
          <w:color w:val="auto"/>
          <w:spacing w:val="0"/>
          <w:sz w:val="24"/>
          <w:szCs w:val="24"/>
          <w:highlight w:val="none"/>
          <w:shd w:val="clear" w:fill="FFFFFF"/>
        </w:rPr>
        <w:t>售卖机</w:t>
      </w:r>
      <w:r>
        <w:rPr>
          <w:rFonts w:hint="eastAsia" w:ascii="Segoe UI" w:hAnsi="Segoe UI" w:eastAsia="宋体" w:cs="Segoe UI"/>
          <w:i w:val="0"/>
          <w:iCs w:val="0"/>
          <w:caps w:val="0"/>
          <w:color w:val="auto"/>
          <w:spacing w:val="0"/>
          <w:sz w:val="24"/>
          <w:szCs w:val="24"/>
          <w:highlight w:val="none"/>
          <w:shd w:val="clear" w:fill="FFFFFF"/>
          <w:lang w:val="en-US" w:eastAsia="zh-CN"/>
        </w:rPr>
        <w:t>所售食品</w:t>
      </w:r>
      <w:r>
        <w:rPr>
          <w:rFonts w:hint="eastAsia" w:ascii="宋体" w:hAnsi="宋体" w:eastAsia="宋体" w:cs="宋体"/>
          <w:color w:val="auto"/>
          <w:kern w:val="0"/>
          <w:sz w:val="24"/>
          <w:highlight w:val="none"/>
          <w:lang w:val="en-US" w:eastAsia="zh-CN"/>
        </w:rPr>
        <w:t>仅限于预包装食品，投标人需严格遵守《中华人民共和国食品安全法》及《食品经营许可和备案管理办法》等相关法律法规。</w:t>
      </w:r>
      <w:r>
        <w:rPr>
          <w:rFonts w:ascii="Segoe UI" w:hAnsi="Segoe UI" w:eastAsia="Segoe UI" w:cs="Segoe UI"/>
          <w:i w:val="0"/>
          <w:iCs w:val="0"/>
          <w:caps w:val="0"/>
          <w:color w:val="auto"/>
          <w:spacing w:val="0"/>
          <w:sz w:val="24"/>
          <w:szCs w:val="24"/>
          <w:highlight w:val="none"/>
          <w:shd w:val="clear" w:fill="FFFFFF"/>
        </w:rPr>
        <w:t>自</w:t>
      </w:r>
      <w:r>
        <w:rPr>
          <w:rFonts w:hint="eastAsia" w:ascii="Segoe UI" w:hAnsi="Segoe UI" w:eastAsia="宋体" w:cs="Segoe UI"/>
          <w:i w:val="0"/>
          <w:iCs w:val="0"/>
          <w:caps w:val="0"/>
          <w:color w:val="auto"/>
          <w:spacing w:val="0"/>
          <w:sz w:val="24"/>
          <w:szCs w:val="24"/>
          <w:highlight w:val="none"/>
          <w:shd w:val="clear" w:fill="FFFFFF"/>
          <w:lang w:val="en-US" w:eastAsia="zh-CN"/>
        </w:rPr>
        <w:t>助</w:t>
      </w:r>
      <w:r>
        <w:rPr>
          <w:rFonts w:ascii="Segoe UI" w:hAnsi="Segoe UI" w:eastAsia="Segoe UI" w:cs="Segoe UI"/>
          <w:i w:val="0"/>
          <w:iCs w:val="0"/>
          <w:caps w:val="0"/>
          <w:color w:val="auto"/>
          <w:spacing w:val="0"/>
          <w:sz w:val="24"/>
          <w:szCs w:val="24"/>
          <w:highlight w:val="none"/>
          <w:shd w:val="clear" w:fill="FFFFFF"/>
        </w:rPr>
        <w:t>售卖机</w:t>
      </w:r>
      <w:r>
        <w:rPr>
          <w:rFonts w:hint="eastAsia" w:ascii="宋体" w:hAnsi="宋体" w:eastAsia="宋体" w:cs="宋体"/>
          <w:color w:val="auto"/>
          <w:kern w:val="0"/>
          <w:sz w:val="24"/>
          <w:highlight w:val="none"/>
          <w:lang w:val="en-US" w:eastAsia="zh-CN"/>
        </w:rPr>
        <w:t>所售医疗器械产品仅限于第一类医疗器械，投标人需严格遵守《医疗器械监督管理条例》和《医疗器械经营监督管理办法》等相关法律法规。</w:t>
      </w:r>
    </w:p>
    <w:p w14:paraId="6AF7A4B3">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7、所售商品需在医院备案，且售价不得高于周边1公里范围内</w:t>
      </w:r>
      <w:r>
        <w:rPr>
          <w:rFonts w:hint="default" w:ascii="宋体" w:hAnsi="宋体" w:eastAsia="宋体" w:cs="宋体"/>
          <w:color w:val="auto"/>
          <w:kern w:val="0"/>
          <w:sz w:val="24"/>
          <w:highlight w:val="none"/>
          <w:lang w:val="en-US" w:eastAsia="zh-CN"/>
        </w:rPr>
        <w:t>连锁超市、便利店等主流零售渠道同类商品</w:t>
      </w:r>
      <w:r>
        <w:rPr>
          <w:rFonts w:hint="eastAsia" w:ascii="宋体" w:hAnsi="宋体" w:eastAsia="宋体" w:cs="宋体"/>
          <w:color w:val="auto"/>
          <w:kern w:val="0"/>
          <w:sz w:val="24"/>
          <w:highlight w:val="none"/>
          <w:lang w:val="en-US" w:eastAsia="zh-CN"/>
        </w:rPr>
        <w:t>零售价</w:t>
      </w:r>
      <w:r>
        <w:rPr>
          <w:rFonts w:hint="eastAsia" w:ascii="宋体" w:hAnsi="宋体" w:eastAsia="宋体" w:cs="宋体"/>
          <w:color w:val="auto"/>
          <w:kern w:val="0"/>
          <w:sz w:val="24"/>
          <w:highlight w:val="none"/>
          <w:lang w:val="en-US" w:eastAsia="zh-CN"/>
        </w:rPr>
        <w:t>，采购人有权对自助售卖机内所售商品价格进行监管，若发现售价偏高有权要求中标人整改，中标人须在接到采购人通知后3个工作日内调整价格，中标人未及时整改达3次，采购人有权单方面解除合同。中标人须根据自助售卖机销售情况及时补货，</w:t>
      </w:r>
      <w:r>
        <w:rPr>
          <w:rFonts w:hint="default" w:ascii="宋体" w:hAnsi="宋体" w:eastAsia="宋体" w:cs="宋体"/>
          <w:color w:val="auto"/>
          <w:kern w:val="0"/>
          <w:sz w:val="24"/>
          <w:highlight w:val="none"/>
          <w:lang w:val="en-US" w:eastAsia="zh-CN"/>
        </w:rPr>
        <w:t>原则上每日至少补货一次；因特殊情况（如库存充足、物流中断等）需调整补货频率的，须提前1个工作日告知采购人并征得同意。</w:t>
      </w:r>
    </w:p>
    <w:p w14:paraId="6E1D0583">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自助售卖机在服务合同履行期间产生的电费由中标人承担，每台售卖机安装独立电表，电费按1元/度向采购人缴交，在服务期内每半年缴交一次，中标人应在缴交期到达前7天向采购人提交每天售卖机电表读数及实际电量使用明细汇总表，待采购人确认后按确认金额进行缴交。</w:t>
      </w:r>
    </w:p>
    <w:p w14:paraId="50D1FC8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outlineLvl w:val="2"/>
        <w:rPr>
          <w:color w:val="auto"/>
          <w:highlight w:val="none"/>
        </w:rPr>
      </w:pPr>
      <w:r>
        <w:rPr>
          <w:rFonts w:hint="eastAsia" w:ascii="宋体" w:hAnsi="宋体" w:eastAsia="宋体" w:cs="宋体"/>
          <w:bCs/>
          <w:color w:val="auto"/>
          <w:sz w:val="24"/>
          <w:highlight w:val="none"/>
          <w:lang w:val="en-US" w:eastAsia="zh-CN"/>
        </w:rPr>
        <w:t>9、投标人须承诺至少有2处地点可根据医院需求，摆放各种特殊要求的产品，如发包人指定</w:t>
      </w:r>
      <w:r>
        <w:rPr>
          <w:rFonts w:hint="eastAsia" w:ascii="宋体" w:hAnsi="宋体" w:eastAsia="宋体" w:cs="宋体"/>
          <w:color w:val="auto"/>
          <w:kern w:val="0"/>
          <w:sz w:val="24"/>
          <w:highlight w:val="none"/>
          <w:lang w:val="en-US" w:eastAsia="zh-CN"/>
        </w:rPr>
        <w:t>的医疗器械产品、尿壶、脸盆等患者所需的日用品。</w:t>
      </w:r>
    </w:p>
    <w:p w14:paraId="019F478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outlineLvl w:val="2"/>
        <w:rPr>
          <w:rFonts w:hint="eastAsia"/>
          <w:color w:val="auto"/>
          <w:highlight w:val="none"/>
          <w:lang w:val="en-US" w:eastAsia="zh-CN"/>
        </w:rPr>
      </w:pPr>
      <w:r>
        <w:rPr>
          <w:rFonts w:hint="eastAsia" w:ascii="宋体" w:hAnsi="宋体" w:eastAsia="宋体" w:cs="宋体"/>
          <w:bCs/>
          <w:color w:val="auto"/>
          <w:sz w:val="24"/>
          <w:highlight w:val="none"/>
          <w:lang w:val="en-US" w:eastAsia="zh-CN"/>
        </w:rPr>
        <w:t>10、投标人需确保货品品类的丰富度，根据医院场景的消费特点和季节变化，动态优化货品结构，定期淘汰滞销品，引入符合消费者需求的新品，以提升消费者购物体验。</w:t>
      </w:r>
    </w:p>
    <w:p w14:paraId="2744BF0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firstLineChars="0"/>
        <w:jc w:val="both"/>
        <w:textAlignment w:val="auto"/>
        <w:outlineLvl w:val="2"/>
        <w:rPr>
          <w:rFonts w:hint="eastAsia" w:ascii="宋体" w:hAnsi="宋体" w:eastAsia="宋体" w:cs="宋体"/>
          <w:color w:val="auto"/>
          <w:kern w:val="0"/>
          <w:sz w:val="24"/>
          <w:highlight w:val="none"/>
          <w:lang w:val="en-US" w:eastAsia="zh-CN"/>
        </w:rPr>
      </w:pPr>
    </w:p>
    <w:p w14:paraId="073374E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三、商务要求（</w:t>
      </w:r>
      <w:r>
        <w:rPr>
          <w:rFonts w:hint="eastAsia" w:ascii="宋体" w:hAnsi="宋体" w:eastAsia="宋体" w:cs="宋体"/>
          <w:b/>
          <w:color w:val="auto"/>
          <w:sz w:val="24"/>
          <w:szCs w:val="24"/>
          <w:highlight w:val="none"/>
          <w:lang w:eastAsia="zh-CN"/>
        </w:rPr>
        <w:t>均</w:t>
      </w:r>
      <w:r>
        <w:rPr>
          <w:rFonts w:hint="eastAsia" w:ascii="宋体" w:hAnsi="宋体" w:eastAsia="宋体" w:cs="宋体"/>
          <w:b/>
          <w:color w:val="auto"/>
          <w:sz w:val="24"/>
          <w:szCs w:val="24"/>
          <w:highlight w:val="none"/>
        </w:rPr>
        <w:t>为不允许负偏离的实质性要求）</w:t>
      </w:r>
    </w:p>
    <w:p w14:paraId="71E7ABBE">
      <w:pPr>
        <w:keepNext w:val="0"/>
        <w:keepLines w:val="0"/>
        <w:pageBreakBefore w:val="0"/>
        <w:widowControl/>
        <w:kinsoku w:val="0"/>
        <w:wordWrap/>
        <w:overflowPunct w:val="0"/>
        <w:topLinePunct w:val="0"/>
        <w:autoSpaceDE w:val="0"/>
        <w:autoSpaceDN w:val="0"/>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highlight w:val="none"/>
          <w:lang w:val="en-US" w:eastAsia="zh-CN"/>
        </w:rPr>
        <w:t>服务地点：</w:t>
      </w:r>
      <w:r>
        <w:rPr>
          <w:rFonts w:hint="eastAsia" w:ascii="宋体" w:hAnsi="宋体" w:eastAsia="宋体" w:cs="宋体"/>
          <w:color w:val="auto"/>
          <w:kern w:val="0"/>
          <w:sz w:val="24"/>
          <w:highlight w:val="none"/>
          <w:lang w:eastAsia="zh-CN"/>
        </w:rPr>
        <w:t>采购人指定地点</w:t>
      </w:r>
      <w:r>
        <w:rPr>
          <w:rFonts w:hint="eastAsia" w:ascii="宋体" w:hAnsi="宋体" w:eastAsia="宋体" w:cs="宋体"/>
          <w:color w:val="auto"/>
          <w:sz w:val="24"/>
          <w:szCs w:val="24"/>
          <w:highlight w:val="none"/>
        </w:rPr>
        <w:t>。</w:t>
      </w:r>
    </w:p>
    <w:p w14:paraId="3555B7B1">
      <w:pPr>
        <w:keepNext w:val="0"/>
        <w:keepLines w:val="0"/>
        <w:pageBreakBefore w:val="0"/>
        <w:widowControl/>
        <w:kinsoku w:val="0"/>
        <w:wordWrap/>
        <w:overflowPunct w:val="0"/>
        <w:topLinePunct w:val="0"/>
        <w:autoSpaceDE w:val="0"/>
        <w:autoSpaceDN w:val="0"/>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highlight w:val="none"/>
          <w:lang w:val="en-US" w:eastAsia="zh-CN"/>
        </w:rPr>
        <w:t>服务期限：合同签订之日起三年（36个月）</w:t>
      </w:r>
      <w:r>
        <w:rPr>
          <w:rFonts w:hint="eastAsia" w:ascii="宋体" w:hAnsi="宋体" w:eastAsia="宋体" w:cs="宋体"/>
          <w:color w:val="auto"/>
          <w:sz w:val="24"/>
          <w:szCs w:val="24"/>
          <w:highlight w:val="none"/>
        </w:rPr>
        <w:t>。</w:t>
      </w:r>
    </w:p>
    <w:p w14:paraId="22E20171">
      <w:pPr>
        <w:keepNext w:val="0"/>
        <w:keepLines w:val="0"/>
        <w:pageBreakBefore w:val="0"/>
        <w:widowControl/>
        <w:kinsoku w:val="0"/>
        <w:wordWrap/>
        <w:overflowPunct w:val="0"/>
        <w:topLinePunct w:val="0"/>
        <w:autoSpaceDE w:val="0"/>
        <w:autoSpaceDN w:val="0"/>
        <w:bidi w:val="0"/>
        <w:adjustRightInd w:val="0"/>
        <w:snapToGrid w:val="0"/>
        <w:spacing w:before="0" w:after="0" w:line="360" w:lineRule="auto"/>
        <w:ind w:left="479" w:leftChars="228" w:firstLine="0" w:firstLineChars="0"/>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3、交付条件：满足招标文件要求</w:t>
      </w:r>
      <w:r>
        <w:rPr>
          <w:rFonts w:hint="eastAsia" w:ascii="宋体" w:hAnsi="宋体" w:eastAsia="宋体" w:cs="宋体"/>
          <w:bCs/>
          <w:color w:val="auto"/>
          <w:sz w:val="24"/>
          <w:highlight w:val="none"/>
          <w:lang w:val="en-US" w:eastAsia="zh-CN"/>
        </w:rPr>
        <w:br w:type="textWrapping"/>
      </w:r>
      <w:r>
        <w:rPr>
          <w:rFonts w:hint="eastAsia" w:ascii="宋体" w:hAnsi="宋体" w:eastAsia="宋体" w:cs="宋体"/>
          <w:bCs/>
          <w:color w:val="auto"/>
          <w:sz w:val="24"/>
          <w:highlight w:val="none"/>
          <w:lang w:val="en-US" w:eastAsia="zh-CN"/>
        </w:rPr>
        <w:t>4、是否收取履约保证金： 是，本采购包履约保证金为合同金额的5.0%。说明：中标人应在签订合同前5日内以非现金形式向采购人缴纳合同金额的5.0%的履约保证金。合同期满后，如无续签、无违约行为，在财产清点移交完毕、结清租赁服务费、电费等相关费用后15日内无息退还履约保证金。如中标人未按合同规定履行其义务，采购人有权扣除履约保证金，用以补偿。</w:t>
      </w:r>
      <w:r>
        <w:rPr>
          <w:rFonts w:hint="eastAsia" w:ascii="宋体" w:hAnsi="宋体" w:eastAsia="宋体" w:cs="宋体"/>
          <w:bCs/>
          <w:color w:val="auto"/>
          <w:sz w:val="24"/>
          <w:highlight w:val="none"/>
          <w:lang w:val="en-US" w:eastAsia="zh-CN"/>
        </w:rPr>
        <w:br w:type="textWrapping"/>
      </w:r>
      <w:r>
        <w:rPr>
          <w:rFonts w:hint="eastAsia" w:ascii="宋体" w:hAnsi="宋体" w:eastAsia="宋体" w:cs="宋体"/>
          <w:bCs/>
          <w:color w:val="auto"/>
          <w:sz w:val="24"/>
          <w:highlight w:val="none"/>
          <w:lang w:val="en-US" w:eastAsia="zh-CN"/>
        </w:rPr>
        <w:t>5、是否邀请投标人参与验收：否</w:t>
      </w:r>
      <w:r>
        <w:rPr>
          <w:rFonts w:hint="eastAsia" w:ascii="宋体" w:hAnsi="宋体" w:eastAsia="宋体" w:cs="宋体"/>
          <w:bCs/>
          <w:color w:val="auto"/>
          <w:sz w:val="24"/>
          <w:highlight w:val="none"/>
          <w:lang w:val="en-US" w:eastAsia="zh-CN"/>
        </w:rPr>
        <w:br w:type="textWrapping"/>
      </w:r>
      <w:r>
        <w:rPr>
          <w:rFonts w:hint="eastAsia" w:ascii="宋体" w:hAnsi="宋体" w:eastAsia="宋体" w:cs="宋体"/>
          <w:bCs/>
          <w:color w:val="auto"/>
          <w:sz w:val="24"/>
          <w:highlight w:val="none"/>
          <w:lang w:val="en-US" w:eastAsia="zh-CN"/>
        </w:rPr>
        <w:t xml:space="preserve">6、验收方式数据表格 </w:t>
      </w:r>
    </w:p>
    <w:tbl>
      <w:tblPr>
        <w:tblStyle w:val="22"/>
        <w:tblW w:w="4738" w:type="pct"/>
        <w:tblCellSpacing w:w="0"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87"/>
        <w:gridCol w:w="6890"/>
      </w:tblGrid>
      <w:tr w14:paraId="570D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tblHeader/>
          <w:tblCellSpacing w:w="0" w:type="dxa"/>
        </w:trPr>
        <w:tc>
          <w:tcPr>
            <w:tcW w:w="735" w:type="pct"/>
            <w:vAlign w:val="center"/>
          </w:tcPr>
          <w:p w14:paraId="54A99095">
            <w:pPr>
              <w:keepNext w:val="0"/>
              <w:keepLines w:val="0"/>
              <w:pageBreakBefore w:val="0"/>
              <w:widowControl/>
              <w:kinsoku w:val="0"/>
              <w:wordWrap/>
              <w:overflowPunct w:val="0"/>
              <w:topLinePunct w:val="0"/>
              <w:autoSpaceDE w:val="0"/>
              <w:autoSpaceDN w:val="0"/>
              <w:bidi w:val="0"/>
              <w:adjustRightInd w:val="0"/>
              <w:snapToGrid w:val="0"/>
              <w:spacing w:before="0" w:after="0" w:line="360" w:lineRule="auto"/>
              <w:jc w:val="center"/>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验收期次</w:t>
            </w:r>
          </w:p>
        </w:tc>
        <w:tc>
          <w:tcPr>
            <w:tcW w:w="4264" w:type="pct"/>
            <w:vAlign w:val="center"/>
          </w:tcPr>
          <w:p w14:paraId="029E4650">
            <w:pPr>
              <w:keepNext w:val="0"/>
              <w:keepLines w:val="0"/>
              <w:pageBreakBefore w:val="0"/>
              <w:widowControl/>
              <w:kinsoku w:val="0"/>
              <w:wordWrap/>
              <w:overflowPunct w:val="0"/>
              <w:topLinePunct w:val="0"/>
              <w:autoSpaceDE w:val="0"/>
              <w:autoSpaceDN w:val="0"/>
              <w:bidi w:val="0"/>
              <w:adjustRightInd w:val="0"/>
              <w:snapToGrid w:val="0"/>
              <w:spacing w:before="0" w:after="0" w:line="360" w:lineRule="auto"/>
              <w:ind w:firstLine="480" w:firstLineChars="200"/>
              <w:jc w:val="center"/>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验收期次说明</w:t>
            </w:r>
          </w:p>
        </w:tc>
      </w:tr>
      <w:tr w14:paraId="12E7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35" w:type="pct"/>
            <w:vAlign w:val="center"/>
          </w:tcPr>
          <w:p w14:paraId="47C0B7BF">
            <w:pPr>
              <w:keepNext w:val="0"/>
              <w:keepLines w:val="0"/>
              <w:pageBreakBefore w:val="0"/>
              <w:widowControl/>
              <w:kinsoku w:val="0"/>
              <w:wordWrap/>
              <w:overflowPunct w:val="0"/>
              <w:topLinePunct w:val="0"/>
              <w:autoSpaceDE w:val="0"/>
              <w:autoSpaceDN w:val="0"/>
              <w:bidi w:val="0"/>
              <w:adjustRightInd w:val="0"/>
              <w:snapToGrid w:val="0"/>
              <w:spacing w:before="0" w:after="0" w:line="360" w:lineRule="auto"/>
              <w:ind w:firstLine="480" w:firstLineChars="200"/>
              <w:jc w:val="both"/>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w:t>
            </w:r>
          </w:p>
        </w:tc>
        <w:tc>
          <w:tcPr>
            <w:tcW w:w="4264" w:type="pct"/>
            <w:vAlign w:val="center"/>
          </w:tcPr>
          <w:p w14:paraId="6F244405">
            <w:pPr>
              <w:keepNext w:val="0"/>
              <w:keepLines w:val="0"/>
              <w:pageBreakBefore w:val="0"/>
              <w:widowControl/>
              <w:kinsoku w:val="0"/>
              <w:wordWrap/>
              <w:overflowPunct w:val="0"/>
              <w:topLinePunct w:val="0"/>
              <w:autoSpaceDE w:val="0"/>
              <w:autoSpaceDN w:val="0"/>
              <w:bidi w:val="0"/>
              <w:adjustRightInd w:val="0"/>
              <w:snapToGrid w:val="0"/>
              <w:spacing w:before="0" w:after="0" w:line="360" w:lineRule="auto"/>
              <w:ind w:firstLine="480" w:firstLineChars="200"/>
              <w:jc w:val="center"/>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满足招标文件、投标文件、合同等要求</w:t>
            </w:r>
          </w:p>
        </w:tc>
      </w:tr>
    </w:tbl>
    <w:p w14:paraId="24F82051">
      <w:pPr>
        <w:keepNext w:val="0"/>
        <w:keepLines w:val="0"/>
        <w:pageBreakBefore w:val="0"/>
        <w:widowControl/>
        <w:kinsoku w:val="0"/>
        <w:wordWrap/>
        <w:overflowPunct w:val="0"/>
        <w:topLinePunct w:val="0"/>
        <w:autoSpaceDE w:val="0"/>
        <w:autoSpaceDN w:val="0"/>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、缴租办法：</w:t>
      </w:r>
      <w:r>
        <w:rPr>
          <w:rFonts w:hint="eastAsia" w:ascii="宋体" w:hAnsi="宋体" w:eastAsia="宋体" w:cs="宋体"/>
          <w:bCs/>
          <w:color w:val="auto"/>
          <w:sz w:val="24"/>
          <w:highlight w:val="none"/>
          <w:lang w:val="en-US" w:eastAsia="zh-CN"/>
        </w:rPr>
        <w:t>合同签订之日起15日内中标人向采购人缴纳6个月费用，以此类推每半年服务期内的前15天交清当期租赁服务费</w:t>
      </w:r>
      <w:r>
        <w:rPr>
          <w:rFonts w:hint="eastAsia" w:ascii="宋体" w:hAnsi="宋体" w:eastAsia="宋体" w:cs="宋体"/>
          <w:color w:val="auto"/>
          <w:sz w:val="24"/>
          <w:szCs w:val="24"/>
          <w:highlight w:val="none"/>
        </w:rPr>
        <w:t>。</w:t>
      </w:r>
    </w:p>
    <w:p w14:paraId="12950907">
      <w:pPr>
        <w:pStyle w:val="20"/>
        <w:keepNext w:val="0"/>
        <w:keepLines w:val="0"/>
        <w:pageBreakBefore w:val="0"/>
        <w:widowControl/>
        <w:wordWrap/>
        <w:topLinePunct w:val="0"/>
        <w:autoSpaceDE w:val="0"/>
        <w:bidi w:val="0"/>
        <w:spacing w:before="0" w:beforeAutospacing="0" w:after="0" w:afterAutospacing="0"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、违约条款</w:t>
      </w:r>
    </w:p>
    <w:p w14:paraId="3AAEB34E">
      <w:pPr>
        <w:pStyle w:val="20"/>
        <w:keepNext w:val="0"/>
        <w:keepLines w:val="0"/>
        <w:pageBreakBefore w:val="0"/>
        <w:widowControl/>
        <w:wordWrap/>
        <w:topLinePunct w:val="0"/>
        <w:autoSpaceDE w:val="0"/>
        <w:bidi w:val="0"/>
        <w:spacing w:before="0" w:beforeAutospacing="0" w:after="0" w:afterAutospacing="0"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1因中标人原因造成合同无法按时签订，视为中标人违约，采购人有权没收其投标保证金，如投标保证金不能弥补中标人违约对采购人造成的损失的，中标人还需另行支付相应的赔偿。</w:t>
      </w:r>
    </w:p>
    <w:p w14:paraId="388C3799">
      <w:pPr>
        <w:pStyle w:val="20"/>
        <w:keepNext w:val="0"/>
        <w:keepLines w:val="0"/>
        <w:pageBreakBefore w:val="0"/>
        <w:widowControl/>
        <w:wordWrap/>
        <w:topLinePunct w:val="0"/>
        <w:autoSpaceDE w:val="0"/>
        <w:bidi w:val="0"/>
        <w:spacing w:before="0" w:beforeAutospacing="0" w:after="0" w:afterAutospacing="0"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2在签</w:t>
      </w:r>
      <w:r>
        <w:rPr>
          <w:rFonts w:hint="eastAsia" w:ascii="宋体" w:hAnsi="宋体" w:eastAsia="宋体" w:cs="宋体"/>
          <w:color w:val="auto"/>
          <w:highlight w:val="none"/>
          <w:lang w:eastAsia="zh-CN"/>
        </w:rPr>
        <w:t>订</w:t>
      </w:r>
      <w:r>
        <w:rPr>
          <w:rFonts w:hint="eastAsia" w:ascii="宋体" w:hAnsi="宋体" w:eastAsia="宋体" w:cs="宋体"/>
          <w:color w:val="auto"/>
          <w:highlight w:val="none"/>
        </w:rPr>
        <w:t>合同之后，中标人要求解除合同的，视为中标人违约，</w:t>
      </w:r>
      <w:r>
        <w:rPr>
          <w:rFonts w:hint="eastAsia" w:ascii="宋体" w:hAnsi="宋体" w:eastAsia="宋体" w:cs="宋体"/>
          <w:color w:val="auto"/>
          <w:highlight w:val="none"/>
          <w:lang w:val="en-US" w:eastAsia="zh-CN"/>
        </w:rPr>
        <w:t>由</w:t>
      </w:r>
      <w:r>
        <w:rPr>
          <w:rFonts w:hint="eastAsia" w:ascii="宋体" w:hAnsi="宋体" w:eastAsia="宋体" w:cs="宋体"/>
          <w:color w:val="auto"/>
          <w:highlight w:val="none"/>
        </w:rPr>
        <w:t>中标人违约对采购人造成的损失，中标人</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支付相应的赔偿。</w:t>
      </w:r>
    </w:p>
    <w:p w14:paraId="647B7670">
      <w:pPr>
        <w:pStyle w:val="20"/>
        <w:keepNext w:val="0"/>
        <w:keepLines w:val="0"/>
        <w:pageBreakBefore w:val="0"/>
        <w:widowControl/>
        <w:wordWrap/>
        <w:topLinePunct w:val="0"/>
        <w:autoSpaceDE w:val="0"/>
        <w:bidi w:val="0"/>
        <w:spacing w:before="0" w:beforeAutospacing="0" w:after="0" w:afterAutospacing="0"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在合同履约期间，</w:t>
      </w:r>
      <w:r>
        <w:rPr>
          <w:rFonts w:hint="eastAsia" w:ascii="宋体" w:hAnsi="宋体" w:eastAsia="宋体" w:cs="宋体"/>
          <w:i w:val="0"/>
          <w:iCs w:val="0"/>
          <w:caps w:val="0"/>
          <w:color w:val="auto"/>
          <w:spacing w:val="0"/>
          <w:sz w:val="24"/>
          <w:szCs w:val="20"/>
          <w:highlight w:val="none"/>
          <w:shd w:val="clear"/>
        </w:rPr>
        <w:t>若因中标人提供的货品或服务导致</w:t>
      </w:r>
      <w:r>
        <w:rPr>
          <w:rFonts w:hint="eastAsia" w:ascii="宋体" w:hAnsi="宋体" w:eastAsia="宋体" w:cs="宋体"/>
          <w:color w:val="auto"/>
          <w:highlight w:val="none"/>
        </w:rPr>
        <w:t>产品质量事故、食品安全事故</w:t>
      </w:r>
      <w:r>
        <w:rPr>
          <w:rFonts w:hint="eastAsia" w:ascii="宋体" w:hAnsi="宋体" w:eastAsia="宋体" w:cs="宋体"/>
          <w:color w:val="auto"/>
          <w:highlight w:val="none"/>
          <w:lang w:val="en-US" w:eastAsia="zh-CN"/>
        </w:rPr>
        <w:t>及其他安全事故</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除依约承担赔偿责任外，还将按《中华人民共和国产品质量法》</w:t>
      </w:r>
      <w:r>
        <w:rPr>
          <w:rFonts w:hint="eastAsia" w:ascii="宋体" w:hAnsi="宋体" w:eastAsia="宋体" w:cs="宋体"/>
          <w:color w:val="auto"/>
          <w:highlight w:val="none"/>
          <w:lang w:val="en-US" w:eastAsia="zh-CN"/>
        </w:rPr>
        <w:t>及</w:t>
      </w:r>
      <w:r>
        <w:rPr>
          <w:rFonts w:hint="eastAsia" w:ascii="宋体" w:hAnsi="宋体" w:eastAsia="宋体" w:cs="宋体"/>
          <w:i w:val="0"/>
          <w:iCs w:val="0"/>
          <w:caps w:val="0"/>
          <w:color w:val="auto"/>
          <w:spacing w:val="0"/>
          <w:sz w:val="24"/>
          <w:szCs w:val="20"/>
          <w:highlight w:val="none"/>
          <w:shd w:val="clear"/>
        </w:rPr>
        <w:t>《中华人民共和国食品安全法》</w:t>
      </w:r>
      <w:r>
        <w:rPr>
          <w:rFonts w:hint="eastAsia" w:ascii="宋体" w:hAnsi="宋体" w:eastAsia="宋体" w:cs="宋体"/>
          <w:i w:val="0"/>
          <w:iCs w:val="0"/>
          <w:caps w:val="0"/>
          <w:color w:val="auto"/>
          <w:spacing w:val="0"/>
          <w:sz w:val="24"/>
          <w:szCs w:val="20"/>
          <w:highlight w:val="none"/>
          <w:shd w:val="clear"/>
          <w:lang w:val="en-US" w:eastAsia="zh-CN"/>
        </w:rPr>
        <w:t>等有关法律法规的规定</w:t>
      </w:r>
      <w:r>
        <w:rPr>
          <w:rFonts w:hint="eastAsia" w:ascii="宋体" w:hAnsi="宋体" w:eastAsia="宋体" w:cs="宋体"/>
          <w:color w:val="auto"/>
          <w:highlight w:val="none"/>
        </w:rPr>
        <w:t>执行。同时，采购人有权单方面解除合同，并</w:t>
      </w:r>
      <w:r>
        <w:rPr>
          <w:rFonts w:hint="eastAsia" w:ascii="宋体" w:hAnsi="宋体" w:eastAsia="宋体" w:cs="宋体"/>
          <w:color w:val="auto"/>
          <w:highlight w:val="none"/>
          <w:lang w:val="en-US" w:eastAsia="zh-CN"/>
        </w:rPr>
        <w:t>将相关情况</w:t>
      </w:r>
      <w:r>
        <w:rPr>
          <w:rFonts w:hint="eastAsia" w:ascii="宋体" w:hAnsi="宋体" w:eastAsia="宋体" w:cs="宋体"/>
          <w:color w:val="auto"/>
          <w:highlight w:val="none"/>
        </w:rPr>
        <w:t>报相关主管部门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由其依法对中标人的违约或违法行为作出处罚</w:t>
      </w:r>
      <w:r>
        <w:rPr>
          <w:rFonts w:hint="eastAsia" w:ascii="宋体" w:hAnsi="宋体" w:eastAsia="宋体" w:cs="宋体"/>
          <w:color w:val="auto"/>
          <w:highlight w:val="none"/>
        </w:rPr>
        <w:t>。</w:t>
      </w:r>
    </w:p>
    <w:p w14:paraId="04477265">
      <w:pPr>
        <w:pStyle w:val="20"/>
        <w:keepNext w:val="0"/>
        <w:keepLines w:val="0"/>
        <w:pageBreakBefore w:val="0"/>
        <w:widowControl/>
        <w:wordWrap/>
        <w:topLinePunct w:val="0"/>
        <w:autoSpaceDE w:val="0"/>
        <w:bidi w:val="0"/>
        <w:spacing w:before="0" w:beforeAutospacing="0" w:after="0" w:afterAutospacing="0"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8.4如发现超出售卖范围进行售卖的，每发现一次罚款500元；未能在承诺时间内补货的，按20元/小时（不足1小时的按1小时计）累加处罚；未按采购人要求进行整改的、未及时缴纳各类款项罚款的，每延迟一天（不足24小时的按24小时计）处罚200元。</w:t>
      </w:r>
      <w:r>
        <w:rPr>
          <w:rFonts w:hint="eastAsia" w:ascii="宋体" w:hAnsi="宋体" w:eastAsia="宋体" w:cs="宋体"/>
          <w:color w:val="auto"/>
          <w:highlight w:val="none"/>
        </w:rPr>
        <w:t>在明确违约责任后，中标人应在接到</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书面通知书起七天内支付违约金、赔偿金等。</w:t>
      </w:r>
    </w:p>
    <w:p w14:paraId="59F01CCC">
      <w:pPr>
        <w:pStyle w:val="20"/>
        <w:keepNext w:val="0"/>
        <w:keepLines w:val="0"/>
        <w:pageBreakBefore w:val="0"/>
        <w:widowControl/>
        <w:wordWrap/>
        <w:topLinePunct w:val="0"/>
        <w:autoSpaceDE w:val="0"/>
        <w:bidi w:val="0"/>
        <w:spacing w:before="0" w:beforeAutospacing="0" w:after="0" w:afterAutospacing="0"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8.5中标人负责设备的安装。运营维护及销售商品的售后服务。如因机器故障引发安全事故或销售商品质量（如过期、变质等）或价格过高被投诉等，由中标人负全责，且一经核实每次罚款1000元。</w:t>
      </w:r>
    </w:p>
    <w:p w14:paraId="73094B9E">
      <w:pPr>
        <w:pStyle w:val="20"/>
        <w:keepNext w:val="0"/>
        <w:keepLines w:val="0"/>
        <w:pageBreakBefore w:val="0"/>
        <w:widowControl/>
        <w:wordWrap/>
        <w:topLinePunct w:val="0"/>
        <w:autoSpaceDE w:val="0"/>
        <w:bidi w:val="0"/>
        <w:spacing w:before="0" w:beforeAutospacing="0" w:after="0" w:afterAutospacing="0"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8.6如遇到采购人场地使用调整，中标人需无条件按照采购人要求调整场地，中标人需在3日内完成调整，每推迟一日，扣罚300元，超过20天未调整，采购人有权解除合同。</w:t>
      </w:r>
    </w:p>
    <w:p w14:paraId="3953FA92">
      <w:pPr>
        <w:pStyle w:val="20"/>
        <w:keepNext w:val="0"/>
        <w:keepLines w:val="0"/>
        <w:pageBreakBefore w:val="0"/>
        <w:widowControl/>
        <w:wordWrap/>
        <w:topLinePunct w:val="0"/>
        <w:autoSpaceDE w:val="0"/>
        <w:bidi w:val="0"/>
        <w:spacing w:before="0" w:beforeAutospacing="0" w:after="0" w:afterAutospacing="0"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8.7</w:t>
      </w:r>
      <w:r>
        <w:rPr>
          <w:rFonts w:hint="eastAsia" w:ascii="宋体" w:hAnsi="宋体" w:eastAsia="宋体" w:cs="宋体"/>
          <w:color w:val="auto"/>
          <w:highlight w:val="none"/>
        </w:rPr>
        <w:t>发生其它争议，由当事人双方协商解决，协商不成的，任何一方均有权向采购人所在地有管辖权的人民法院提起诉讼。</w:t>
      </w:r>
    </w:p>
    <w:p w14:paraId="59A6CFF2">
      <w:pPr>
        <w:pStyle w:val="20"/>
        <w:keepNext w:val="0"/>
        <w:keepLines w:val="0"/>
        <w:pageBreakBefore w:val="0"/>
        <w:widowControl/>
        <w:wordWrap/>
        <w:topLinePunct w:val="0"/>
        <w:autoSpaceDE w:val="0"/>
        <w:bidi w:val="0"/>
        <w:spacing w:before="0" w:beforeAutospacing="0" w:after="0" w:afterAutospacing="0"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其它要求</w:t>
      </w:r>
    </w:p>
    <w:p w14:paraId="1A93DEC6">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rPr>
        <w:t>1以上所述一切费用均包含在投标报价中。</w:t>
      </w:r>
    </w:p>
    <w:p w14:paraId="203FFF98">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rPr>
        <w:t>2本项目不允许中标人以任何名义和理由进行转包，如有发现，</w:t>
      </w:r>
      <w:r>
        <w:rPr>
          <w:rFonts w:hint="eastAsia" w:ascii="宋体" w:hAnsi="宋体" w:eastAsia="宋体" w:cs="宋体"/>
          <w:bCs/>
          <w:color w:val="auto"/>
          <w:sz w:val="24"/>
          <w:highlight w:val="none"/>
          <w:lang w:val="en-US" w:eastAsia="zh-CN"/>
        </w:rPr>
        <w:t>采购人</w:t>
      </w:r>
      <w:r>
        <w:rPr>
          <w:rFonts w:hint="eastAsia" w:ascii="宋体" w:hAnsi="宋体" w:eastAsia="宋体" w:cs="宋体"/>
          <w:bCs/>
          <w:color w:val="auto"/>
          <w:sz w:val="24"/>
          <w:highlight w:val="none"/>
        </w:rPr>
        <w:t>有权单方终止合同，视为中标人违约，没收投标保证金。如投标保证金不能弥补中标人违约对</w:t>
      </w:r>
      <w:r>
        <w:rPr>
          <w:rFonts w:hint="eastAsia" w:ascii="宋体" w:hAnsi="宋体" w:eastAsia="宋体" w:cs="宋体"/>
          <w:bCs/>
          <w:color w:val="auto"/>
          <w:sz w:val="24"/>
          <w:highlight w:val="none"/>
          <w:lang w:val="en-US" w:eastAsia="zh-CN"/>
        </w:rPr>
        <w:t>采购人</w:t>
      </w:r>
      <w:r>
        <w:rPr>
          <w:rFonts w:hint="eastAsia" w:ascii="宋体" w:hAnsi="宋体" w:eastAsia="宋体" w:cs="宋体"/>
          <w:bCs/>
          <w:color w:val="auto"/>
          <w:sz w:val="24"/>
          <w:highlight w:val="none"/>
        </w:rPr>
        <w:t xml:space="preserve">造成的损失的，中标人还需另行支付相应的赔偿。 </w:t>
      </w:r>
    </w:p>
    <w:p w14:paraId="32FECC58">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9.3</w:t>
      </w:r>
      <w:r>
        <w:rPr>
          <w:rFonts w:hint="eastAsia" w:ascii="宋体" w:hAnsi="宋体" w:eastAsia="宋体" w:cs="宋体"/>
          <w:bCs/>
          <w:color w:val="auto"/>
          <w:sz w:val="24"/>
          <w:highlight w:val="none"/>
        </w:rPr>
        <w:t>本招标文件明确的约定事项或条款，是</w:t>
      </w:r>
      <w:r>
        <w:rPr>
          <w:rFonts w:hint="eastAsia" w:ascii="宋体" w:hAnsi="宋体" w:eastAsia="宋体" w:cs="宋体"/>
          <w:bCs/>
          <w:color w:val="auto"/>
          <w:sz w:val="24"/>
          <w:highlight w:val="none"/>
          <w:lang w:val="en-US" w:eastAsia="zh-CN"/>
        </w:rPr>
        <w:t>采购人</w:t>
      </w:r>
      <w:r>
        <w:rPr>
          <w:rFonts w:hint="eastAsia" w:ascii="宋体" w:hAnsi="宋体" w:eastAsia="宋体" w:cs="宋体"/>
          <w:bCs/>
          <w:color w:val="auto"/>
          <w:sz w:val="24"/>
          <w:highlight w:val="none"/>
        </w:rPr>
        <w:t>与中标人签订合同时的合同条款。招标文件未明确的其它约定事项或条款，待</w:t>
      </w:r>
      <w:r>
        <w:rPr>
          <w:rFonts w:hint="eastAsia" w:ascii="宋体" w:hAnsi="宋体" w:eastAsia="宋体" w:cs="宋体"/>
          <w:bCs/>
          <w:color w:val="auto"/>
          <w:sz w:val="24"/>
          <w:highlight w:val="none"/>
          <w:lang w:val="en-US" w:eastAsia="zh-CN"/>
        </w:rPr>
        <w:t>采购人</w:t>
      </w:r>
      <w:r>
        <w:rPr>
          <w:rFonts w:hint="eastAsia" w:ascii="宋体" w:hAnsi="宋体" w:eastAsia="宋体" w:cs="宋体"/>
          <w:bCs/>
          <w:color w:val="auto"/>
          <w:sz w:val="24"/>
          <w:highlight w:val="none"/>
        </w:rPr>
        <w:t>与中标人签订合同时，由双方协商订立。</w:t>
      </w:r>
    </w:p>
    <w:p w14:paraId="60021D4B">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0"/>
        <w:jc w:val="both"/>
        <w:textAlignment w:val="auto"/>
        <w:outlineLvl w:val="2"/>
        <w:rPr>
          <w:rFonts w:hint="eastAsia" w:ascii="宋体" w:hAnsi="宋体" w:eastAsia="宋体" w:cs="宋体"/>
          <w:bCs/>
          <w:color w:val="auto"/>
          <w:sz w:val="24"/>
          <w:highlight w:val="none"/>
        </w:rPr>
      </w:pPr>
    </w:p>
    <w:p w14:paraId="2C7199E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四、其他事项</w:t>
      </w:r>
    </w:p>
    <w:p w14:paraId="67ED615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1、除招标文件另有规定外，若出现有关法律、法规和规章有强制性规定但招标文件未列明的情形，则投标人应按照有关法律、法规和规章强制性规定执行。</w:t>
      </w:r>
    </w:p>
    <w:p w14:paraId="1C4D4AE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2、其他：无</w:t>
      </w:r>
    </w:p>
    <w:p w14:paraId="0036056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22862E7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44EC0E5">
      <w:pPr>
        <w:pStyle w:val="18"/>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highlight w:val="none"/>
        </w:rPr>
      </w:pPr>
      <w:bookmarkStart w:id="66" w:name="_Toc30972"/>
      <w:bookmarkStart w:id="67" w:name="_Toc30490"/>
      <w:bookmarkStart w:id="68" w:name="_Toc143177699"/>
      <w:bookmarkStart w:id="69" w:name="_Toc20773"/>
      <w:bookmarkStart w:id="70" w:name="_Toc18476"/>
      <w:bookmarkStart w:id="71" w:name="_Toc29984"/>
      <w:bookmarkStart w:id="72" w:name="_Toc143178229"/>
      <w:bookmarkStart w:id="73" w:name="_Toc25392"/>
      <w:bookmarkStart w:id="74" w:name="_Toc17151"/>
      <w:r>
        <w:rPr>
          <w:rFonts w:hint="eastAsia" w:ascii="宋体" w:hAnsi="宋体" w:eastAsia="宋体" w:cs="宋体"/>
          <w:color w:val="auto"/>
          <w:highlight w:val="none"/>
        </w:rPr>
        <w:t>第六章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采购合同</w:t>
      </w:r>
      <w:bookmarkEnd w:id="66"/>
      <w:bookmarkEnd w:id="67"/>
      <w:bookmarkEnd w:id="68"/>
      <w:bookmarkEnd w:id="69"/>
      <w:bookmarkEnd w:id="70"/>
      <w:bookmarkEnd w:id="71"/>
      <w:bookmarkEnd w:id="72"/>
      <w:bookmarkEnd w:id="73"/>
      <w:bookmarkEnd w:id="74"/>
    </w:p>
    <w:p w14:paraId="3C4F61C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highlight w:val="none"/>
        </w:rPr>
      </w:pPr>
    </w:p>
    <w:p w14:paraId="05CBC54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编制说明</w:t>
      </w:r>
    </w:p>
    <w:p w14:paraId="7E44993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lang w:eastAsia="zh-CN"/>
        </w:rPr>
      </w:pPr>
    </w:p>
    <w:p w14:paraId="75CB71AB">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1.签订合同应遵守《中华人民共和国民法典》等法律法规及其他有关规定。</w:t>
      </w:r>
    </w:p>
    <w:p w14:paraId="410C70BC">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2.签订合同时，采购人与中标(成交)人应结合采购文件规定填列相应内容。采购文件已有约定的，双方均不得对约定进行变更或调整；采购文件未作规定的，双方可通过友好协商进行约定。</w:t>
      </w:r>
    </w:p>
    <w:p w14:paraId="673A8101">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3.有关主管部门对若干合同有规范文本的，可使用相应合同文本。</w:t>
      </w:r>
    </w:p>
    <w:p w14:paraId="678E6314">
      <w:pPr>
        <w:pStyle w:val="3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4.本合同范本仅供参考，采购人应当根据采购项目的实际需求对合同条款进行修改、补充。</w:t>
      </w:r>
    </w:p>
    <w:p w14:paraId="23367EF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p>
    <w:p w14:paraId="3CC8E5D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5947567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住所地：________________</w:t>
      </w:r>
    </w:p>
    <w:p w14:paraId="7AC6CD3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w:t>
      </w:r>
    </w:p>
    <w:p w14:paraId="61746A5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14:paraId="05380ED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14:paraId="5EEF67C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电子邮箱：________________</w:t>
      </w:r>
    </w:p>
    <w:p w14:paraId="53AA0E6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lang w:eastAsia="zh-CN"/>
        </w:rPr>
      </w:pPr>
    </w:p>
    <w:p w14:paraId="795DCFB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乙方：________________</w:t>
      </w:r>
    </w:p>
    <w:p w14:paraId="4ED59D9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住所地：________________</w:t>
      </w:r>
    </w:p>
    <w:p w14:paraId="56A2C5F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w:t>
      </w:r>
    </w:p>
    <w:p w14:paraId="7ACE53A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14:paraId="0B7EC90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14:paraId="17D0D38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电子邮箱：________________</w:t>
      </w:r>
    </w:p>
    <w:p w14:paraId="07C7A29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p>
    <w:p w14:paraId="02AD1F8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根据项目编号为___________的__________项目（以下简称：“本项目”）的采购结果，遵循平等、自愿、公平和诚实信用的原则，双方签署本合同，具体内容如下：</w:t>
      </w:r>
    </w:p>
    <w:p w14:paraId="73CAF8D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一、合同组成部分</w:t>
      </w:r>
    </w:p>
    <w:p w14:paraId="4ADFB2F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14:paraId="0A41ECE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14:paraId="69D52D1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14:paraId="670D274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14:paraId="6C36685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二、合同标的</w:t>
      </w:r>
    </w:p>
    <w:p w14:paraId="5856163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highlight w:val="none"/>
          <w:lang w:eastAsia="zh-CN"/>
        </w:rPr>
      </w:pPr>
    </w:p>
    <w:p w14:paraId="0F11867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三、价格形式及合同价款</w:t>
      </w:r>
    </w:p>
    <w:p w14:paraId="1C462BF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3.1价格形式</w:t>
      </w:r>
    </w:p>
    <w:p w14:paraId="4F1B910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固定单价合同。完成约定服务事项的含税合同单价为：人民币（大写）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元（￥_______元）。</w:t>
      </w:r>
    </w:p>
    <w:p w14:paraId="310B230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固定总价合同。完成约定服务事项的含税服务费用为：人民币（大写）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元（￥_______元）。</w:t>
      </w:r>
    </w:p>
    <w:p w14:paraId="32BC27F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w:t>
      </w:r>
    </w:p>
    <w:p w14:paraId="369C341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3.2合同价款包含范围</w:t>
      </w:r>
    </w:p>
    <w:p w14:paraId="3E5F756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3.3其他需说明的事项：</w:t>
      </w:r>
    </w:p>
    <w:p w14:paraId="0D3826F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四、合同标的及服务范围、地点和时间</w:t>
      </w:r>
    </w:p>
    <w:p w14:paraId="6AD102D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4.1项目名称：_____________</w:t>
      </w:r>
    </w:p>
    <w:p w14:paraId="2C278D5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4.2服务范围：_____________</w:t>
      </w:r>
    </w:p>
    <w:p w14:paraId="663053D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4.3服务地点：_____________</w:t>
      </w:r>
    </w:p>
    <w:p w14:paraId="5147137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4.4服务完成时间：_____________</w:t>
      </w:r>
    </w:p>
    <w:p w14:paraId="1EA27C5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五、服务内容、质量标准和要求</w:t>
      </w:r>
    </w:p>
    <w:p w14:paraId="51E2B2F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5.1服务工作量的计量方式：_____________</w:t>
      </w:r>
    </w:p>
    <w:p w14:paraId="693DA39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5.2服务内容：_____________</w:t>
      </w:r>
    </w:p>
    <w:p w14:paraId="6F5C76E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5.3技术保障、服务人员组成、所涉及的货物的质量标准：</w:t>
      </w:r>
    </w:p>
    <w:p w14:paraId="517E083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（1）服务技术保障：_____________</w:t>
      </w:r>
    </w:p>
    <w:p w14:paraId="742B524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（2）服务人员组成：_____________</w:t>
      </w:r>
    </w:p>
    <w:p w14:paraId="50558F1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（3）服务设备及物资投入及质量标准：_____________</w:t>
      </w:r>
    </w:p>
    <w:p w14:paraId="0B83A37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5.4服务质量标准及要求：</w:t>
      </w:r>
    </w:p>
    <w:p w14:paraId="7E59FCB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A22DEC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41928D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5.4.3其他要求：</w:t>
      </w:r>
    </w:p>
    <w:p w14:paraId="263EBD6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六、服务履约验收或考核</w:t>
      </w:r>
    </w:p>
    <w:p w14:paraId="72AC540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甲方按照采购文件、乙方的投标或响应文件和本协议约定的服务内容及质量要求按次组织对乙方所提供服务进行验收，或定期进行服务考核，并根据验收或考核结果支付服务费用。具体如下：</w:t>
      </w:r>
    </w:p>
    <w:p w14:paraId="0E8BB2C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七、甲方的权利与义务</w:t>
      </w:r>
    </w:p>
    <w:p w14:paraId="052F4B0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7.1甲方委派___________为联系人，联系方式___________，负责与乙方联系。如甲方联系人发生变更，甲方应书面告知乙方。</w:t>
      </w:r>
    </w:p>
    <w:p w14:paraId="3596337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7.2甲方应为乙方开展服务工作提供必要的工作条件，以及对内对外沟通和配合协助。</w:t>
      </w:r>
    </w:p>
    <w:p w14:paraId="6042E71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7.3甲方应于___________之前提供服务所需的全部资料，并对所提供材料真实性、完整性、合法性负责。</w:t>
      </w:r>
    </w:p>
    <w:p w14:paraId="203BD4D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1599C7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7.5甲方应按本合同约定及时足额支付服务费用及相关费用。</w:t>
      </w:r>
    </w:p>
    <w:p w14:paraId="3330E93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7.6其他</w:t>
      </w:r>
    </w:p>
    <w:p w14:paraId="0E13F0C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八、乙方的权利与义务</w:t>
      </w:r>
    </w:p>
    <w:p w14:paraId="1EA9E7C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8.1乙方委派___________为联系人，联系方式___________，负责与甲方联系。如乙方联系人发生变更，乙方应书面告知甲方</w:t>
      </w:r>
    </w:p>
    <w:p w14:paraId="527B6BD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8.2乙方应国家法律法规和{{乙方的权利与义务-响应要求-福建}}等要求开展{{乙方的权利与义务-开展服务-福建}}服务；</w:t>
      </w:r>
    </w:p>
    <w:p w14:paraId="496B224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8.3乙方及其所委派服务人员应按标准或协议约定方式出具服务成果，对并其真实性和合法性负法律责任；</w:t>
      </w:r>
    </w:p>
    <w:p w14:paraId="68490DF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2B42A20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8.5乙方对服务业务应当单独建档，保存完整的工作记录，并对服务过程使用和暂存甲方的文件、材料和财物应当妥善保管。</w:t>
      </w:r>
    </w:p>
    <w:p w14:paraId="21A3539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8.6服务工作结束后,乙方将根据情况对甲方服务相关的管理制度及其他事项等提出改进意见。</w:t>
      </w:r>
    </w:p>
    <w:p w14:paraId="23B223E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8.7其他</w:t>
      </w:r>
    </w:p>
    <w:p w14:paraId="79842EB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九、资金支付方式、时间和条件</w:t>
      </w:r>
    </w:p>
    <w:p w14:paraId="21109D8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highlight w:val="none"/>
          <w:lang w:eastAsia="zh-CN"/>
        </w:rPr>
      </w:pPr>
    </w:p>
    <w:p w14:paraId="4ACE817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十、履约保证金</w:t>
      </w:r>
    </w:p>
    <w:p w14:paraId="3F9B52D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□有，□无。具体如下：（按照采购文件规定填写）。</w:t>
      </w:r>
    </w:p>
    <w:p w14:paraId="380808D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10.1乙方向甲方缴纳人民币 / 元作为本合同的履约保证金。</w:t>
      </w:r>
    </w:p>
    <w:p w14:paraId="62ED7A5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10.2履约保证金缴纳形式：支票/汇票/电汇/保函等非现金形式。</w:t>
      </w:r>
    </w:p>
    <w:p w14:paraId="1C3479E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10.3履约保证金合同履行完毕前有效，合同履行完毕后一次性结清退还。</w:t>
      </w:r>
    </w:p>
    <w:p w14:paraId="5F29B10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十一、合同期限</w:t>
      </w:r>
    </w:p>
    <w:p w14:paraId="540299A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highlight w:val="none"/>
          <w:lang w:eastAsia="zh-CN"/>
        </w:rPr>
      </w:pPr>
    </w:p>
    <w:p w14:paraId="1894831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十二、保密条款</w:t>
      </w:r>
    </w:p>
    <w:p w14:paraId="35B04DB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14:paraId="3500FD7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14:paraId="568891B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十三、违约责任</w:t>
      </w:r>
    </w:p>
    <w:p w14:paraId="60A986E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13.1甲方违约责任</w:t>
      </w:r>
    </w:p>
    <w:p w14:paraId="6B0B6E9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（1）甲方无正当理由拒绝乙方提供合格服务的，甲方应向乙方偿付所拒收合同总价________的违约金</w:t>
      </w:r>
      <w:r>
        <w:rPr>
          <w:rFonts w:hint="eastAsia" w:ascii="宋体" w:hAnsi="宋体" w:eastAsia="宋体" w:cs="宋体"/>
          <w:color w:val="auto"/>
          <w:sz w:val="24"/>
          <w:szCs w:val="24"/>
          <w:highlight w:val="none"/>
          <w:lang w:eastAsia="zh-CN"/>
        </w:rPr>
        <w:t>。</w:t>
      </w:r>
    </w:p>
    <w:p w14:paraId="6AA5101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（2）甲方无故逾期验收和办理合同款项支付手续的,甲方应按逾期付款总额每日________向乙方支付违约金。</w:t>
      </w:r>
    </w:p>
    <w:p w14:paraId="38F4518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14:paraId="3A8AF8F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13.2乙方违约责任</w:t>
      </w:r>
    </w:p>
    <w:p w14:paraId="6553D01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67E74FE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29E696C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（3）乙方不按合同约定履约的，甲方可以解除采购合同，并对乙方已缴纳的履约保证金作“不予退还”处理。同时，乙方须按以下约定向甲方支付违约金：</w:t>
      </w:r>
    </w:p>
    <w:p w14:paraId="0604AB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14:paraId="7DCA46B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十四、不可抗力事件处理</w:t>
      </w:r>
    </w:p>
    <w:p w14:paraId="406417D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44CF04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十五、解决争议的方法</w:t>
      </w:r>
    </w:p>
    <w:p w14:paraId="75C828F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15.1甲、乙双方协商解决。</w:t>
      </w:r>
    </w:p>
    <w:p w14:paraId="42D1BB6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15.2若协商解决不成，双方明确按以下第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种方式解决：</w:t>
      </w:r>
    </w:p>
    <w:p w14:paraId="6E0EBAF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提交仲裁委员会仲裁，具体如下：</w:t>
      </w:r>
    </w:p>
    <w:p w14:paraId="42A9785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向人民法院提起诉讼。</w:t>
      </w:r>
    </w:p>
    <w:p w14:paraId="638533E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十六、合同其他条款</w:t>
      </w:r>
    </w:p>
    <w:p w14:paraId="0BB4A51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highlight w:val="none"/>
          <w:lang w:eastAsia="zh-CN"/>
        </w:rPr>
      </w:pPr>
    </w:p>
    <w:p w14:paraId="501F23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十七、其他约定</w:t>
      </w:r>
    </w:p>
    <w:p w14:paraId="5293B2E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17.1合同文件与本合同具有同等法律效力。</w:t>
      </w:r>
    </w:p>
    <w:p w14:paraId="58385FF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17.2合同生效：合同经双方法定代表人或委托代理人签字并加盖单位公章后生效。</w:t>
      </w:r>
    </w:p>
    <w:p w14:paraId="510C045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17.3本合同未尽事宜，遵照《中华人民共和国民法典》有关条文执行。</w:t>
      </w:r>
    </w:p>
    <w:p w14:paraId="252FC30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17.4本合同正本一式_______份，具有同等法律效力，甲方、乙方各执_______份；副本_______份，_______</w:t>
      </w:r>
    </w:p>
    <w:p w14:paraId="668CA55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w:t>
      </w:r>
    </w:p>
    <w:p w14:paraId="490CD597">
      <w:pPr>
        <w:pStyle w:val="30"/>
        <w:keepNext w:val="0"/>
        <w:keepLines w:val="0"/>
        <w:pageBreakBefore w:val="0"/>
        <w:widowControl/>
        <w:numPr>
          <w:ilvl w:val="0"/>
          <w:numId w:val="5"/>
        </w:numPr>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合同附件</w:t>
      </w:r>
    </w:p>
    <w:p w14:paraId="4A691649">
      <w:pPr>
        <w:pStyle w:val="30"/>
        <w:keepNext w:val="0"/>
        <w:keepLines w:val="0"/>
        <w:pageBreakBefore w:val="0"/>
        <w:widowControl/>
        <w:numPr>
          <w:ilvl w:val="0"/>
          <w:numId w:val="5"/>
        </w:numPr>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p>
    <w:p w14:paraId="52878BAF">
      <w:pPr>
        <w:pStyle w:val="30"/>
        <w:keepNext w:val="0"/>
        <w:keepLines w:val="0"/>
        <w:pageBreakBefore w:val="0"/>
        <w:widowControl/>
        <w:numPr>
          <w:ilvl w:val="0"/>
          <w:numId w:val="5"/>
        </w:numPr>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p>
    <w:p w14:paraId="4640A80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p>
    <w:p w14:paraId="2293A51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14:paraId="482F347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AB5F3C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1CEB722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p>
    <w:p w14:paraId="0335010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乙方（中标或成交人）：</w:t>
      </w:r>
    </w:p>
    <w:p w14:paraId="41886F5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p>
    <w:p w14:paraId="3FAA30A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14:paraId="6EBDED1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3DCF459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74C3CBE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p>
    <w:p w14:paraId="43865B3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签订地点：_____________</w:t>
      </w:r>
    </w:p>
    <w:p w14:paraId="00595BB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签订日期：____年___月___日</w:t>
      </w:r>
    </w:p>
    <w:p w14:paraId="0640649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C54952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30BE3EC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5C4E13AD">
      <w:pPr>
        <w:pStyle w:val="18"/>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highlight w:val="none"/>
        </w:rPr>
      </w:pPr>
      <w:bookmarkStart w:id="75" w:name="_Toc31134"/>
      <w:bookmarkStart w:id="76" w:name="_Toc28890"/>
      <w:bookmarkStart w:id="77" w:name="_Toc27574"/>
      <w:bookmarkStart w:id="78" w:name="_Toc19172"/>
      <w:bookmarkStart w:id="79" w:name="_Toc7787"/>
      <w:bookmarkStart w:id="80" w:name="_Toc143178232"/>
      <w:bookmarkStart w:id="81" w:name="_Toc143177720"/>
      <w:bookmarkStart w:id="82" w:name="_Toc14509"/>
      <w:bookmarkStart w:id="83" w:name="_Toc16602"/>
      <w:r>
        <w:rPr>
          <w:rFonts w:hint="eastAsia" w:ascii="宋体" w:hAnsi="宋体" w:eastAsia="宋体" w:cs="宋体"/>
          <w:color w:val="auto"/>
          <w:highlight w:val="none"/>
        </w:rPr>
        <w:t>第七章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投标文件</w:t>
      </w:r>
      <w:r>
        <w:rPr>
          <w:rFonts w:hint="eastAsia" w:ascii="宋体" w:hAnsi="宋体" w:eastAsia="宋体" w:cs="宋体"/>
          <w:b/>
          <w:color w:val="auto"/>
          <w:highlight w:val="none"/>
        </w:rPr>
        <w:t>格式</w:t>
      </w:r>
      <w:bookmarkEnd w:id="75"/>
      <w:bookmarkEnd w:id="76"/>
      <w:bookmarkEnd w:id="77"/>
      <w:bookmarkEnd w:id="78"/>
      <w:bookmarkEnd w:id="79"/>
      <w:bookmarkEnd w:id="80"/>
      <w:bookmarkEnd w:id="81"/>
      <w:bookmarkEnd w:id="82"/>
      <w:bookmarkEnd w:id="83"/>
    </w:p>
    <w:p w14:paraId="1CB6FF8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编制说明</w:t>
      </w:r>
    </w:p>
    <w:p w14:paraId="0192DBC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1、除招标文件另有规定外，本章中：</w:t>
      </w:r>
    </w:p>
    <w:p w14:paraId="38C71B9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1.1涉及投标人的“全称”：</w:t>
      </w:r>
    </w:p>
    <w:p w14:paraId="59CACA7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（1）不接受联合体投标的，指投标人的全称。</w:t>
      </w:r>
    </w:p>
    <w:p w14:paraId="1A819DC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（2）接受联合体投标且投标人为联合体的，指牵头方的全称并加注（联合体牵头方），即应表述为：“牵头方的全称（联合体牵头方）”。</w:t>
      </w:r>
    </w:p>
    <w:p w14:paraId="61F21E9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1.2涉及投标人“加盖单位公章”：</w:t>
      </w:r>
    </w:p>
    <w:p w14:paraId="4EA42F7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（1）不接受联合体投标的，指加盖投标人的单位公章。</w:t>
      </w:r>
    </w:p>
    <w:p w14:paraId="6EB1B92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（2）接受联合体投标且投标人为联合体的，指加盖联合体牵头方的单位公章。</w:t>
      </w:r>
    </w:p>
    <w:p w14:paraId="66A8BB5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1.3涉及“投标人代表签字”：</w:t>
      </w:r>
    </w:p>
    <w:p w14:paraId="636A7DC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（1）不接受联合体投标的，指由投标人的单位负责人或其授权的委托代理人签字，由委托代理人签字的，应提供“单位授权书”。</w:t>
      </w:r>
    </w:p>
    <w:p w14:paraId="42A6595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（2）接受联合体投标且投标人为联合体的，指由联合体牵头方的单位负责人或其授权的委托代理人签字，由委托代理人签字的，应提供“单位授权书”。</w:t>
      </w:r>
    </w:p>
    <w:p w14:paraId="3C53B53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1.4“其他组织”指合伙企业、非企业专业服务机构、个体工商户、农村承包经营户等。</w:t>
      </w:r>
    </w:p>
    <w:p w14:paraId="599A045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1.5“自然人”指具有完全民事行为能力、能够承担民事责任和义务的中国公民。</w:t>
      </w:r>
    </w:p>
    <w:p w14:paraId="6A0A14E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2、除招标文件另有规定外，本章中“投标人的资格及资信证明文件”：</w:t>
      </w:r>
    </w:p>
    <w:p w14:paraId="23C3983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2.1投标人应按照招标文件第四章第1.3条第（2）款规定及本章规定进行编制，如有必要，可增加附页，附页作为资格及资信文件的组成部分。</w:t>
      </w:r>
    </w:p>
    <w:p w14:paraId="003901F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2.2接受联合体投标且投标人为联合体的，联合体中的各方均应按照本章第2.1条规定提交相应的全部资料。</w:t>
      </w:r>
    </w:p>
    <w:p w14:paraId="35BB258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3、投标人对投标文件的索引应编制页码。</w:t>
      </w:r>
    </w:p>
    <w:p w14:paraId="21E19DD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4、本章提供格式仅供参考，投标人应根据自身实际情况制作投标文件。</w:t>
      </w:r>
    </w:p>
    <w:p w14:paraId="598693A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9ED6E4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43B81638">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4934AA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封面格式(资格及资信证明部分)</w:t>
      </w:r>
    </w:p>
    <w:p w14:paraId="1006AC0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rPr>
      </w:pPr>
    </w:p>
    <w:p w14:paraId="507424F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福州大学附属省立医院院内采购项目</w:t>
      </w:r>
    </w:p>
    <w:p w14:paraId="2AD593A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投</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件</w:t>
      </w:r>
    </w:p>
    <w:p w14:paraId="5C44A73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2"/>
          <w:rFonts w:hint="eastAsia" w:ascii="宋体" w:hAnsi="宋体" w:eastAsia="宋体" w:cs="宋体"/>
          <w:color w:val="auto"/>
          <w:sz w:val="36"/>
          <w:szCs w:val="36"/>
          <w:highlight w:val="none"/>
          <w:lang w:eastAsia="zh-CN"/>
        </w:rPr>
      </w:pPr>
      <w:bookmarkStart w:id="84" w:name="_Toc27671"/>
      <w:bookmarkStart w:id="85" w:name="_Toc15999"/>
      <w:bookmarkStart w:id="86" w:name="_Toc143178233"/>
      <w:bookmarkStart w:id="87" w:name="_Toc3063"/>
      <w:bookmarkStart w:id="88" w:name="_Toc5546"/>
      <w:bookmarkStart w:id="89" w:name="_Toc27269"/>
      <w:bookmarkStart w:id="90" w:name="_Toc9932"/>
      <w:bookmarkStart w:id="91" w:name="_Toc14242"/>
      <w:bookmarkStart w:id="92" w:name="_Toc25719"/>
      <w:bookmarkStart w:id="93" w:name="_Toc29626"/>
      <w:r>
        <w:rPr>
          <w:rStyle w:val="32"/>
          <w:rFonts w:hint="eastAsia" w:ascii="宋体" w:hAnsi="宋体" w:eastAsia="宋体" w:cs="宋体"/>
          <w:color w:val="auto"/>
          <w:sz w:val="36"/>
          <w:szCs w:val="36"/>
          <w:highlight w:val="none"/>
        </w:rPr>
        <w:t>资格及资信证明部分</w:t>
      </w:r>
      <w:bookmarkEnd w:id="84"/>
      <w:bookmarkEnd w:id="85"/>
      <w:bookmarkEnd w:id="86"/>
      <w:bookmarkEnd w:id="87"/>
      <w:bookmarkEnd w:id="88"/>
      <w:bookmarkEnd w:id="89"/>
      <w:bookmarkEnd w:id="90"/>
      <w:bookmarkEnd w:id="91"/>
      <w:bookmarkEnd w:id="92"/>
      <w:bookmarkEnd w:id="93"/>
    </w:p>
    <w:p w14:paraId="23AB3AA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2"/>
          <w:rFonts w:hint="eastAsia" w:ascii="宋体" w:hAnsi="宋体" w:eastAsia="宋体" w:cs="宋体"/>
          <w:color w:val="auto"/>
          <w:sz w:val="36"/>
          <w:szCs w:val="36"/>
          <w:highlight w:val="none"/>
          <w:lang w:eastAsia="zh-CN"/>
        </w:rPr>
      </w:pPr>
    </w:p>
    <w:p w14:paraId="7C4EE3A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（填写正本或副本）</w:t>
      </w:r>
    </w:p>
    <w:p w14:paraId="46E77A1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lang w:eastAsia="zh-CN"/>
        </w:rPr>
      </w:pPr>
    </w:p>
    <w:p w14:paraId="0F9BD22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lang w:eastAsia="zh-CN"/>
        </w:rPr>
      </w:pPr>
    </w:p>
    <w:p w14:paraId="392DF28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lang w:eastAsia="zh-CN"/>
        </w:rPr>
      </w:pPr>
    </w:p>
    <w:p w14:paraId="139F08B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项目名称：（由投标人填写）</w:t>
      </w:r>
    </w:p>
    <w:p w14:paraId="56376F6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项目编号：（由投标人填写）</w:t>
      </w:r>
    </w:p>
    <w:p w14:paraId="75C938F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所投采购包：（由投标人填写）</w:t>
      </w:r>
    </w:p>
    <w:p w14:paraId="29343F9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lang w:eastAsia="zh-CN"/>
        </w:rPr>
      </w:pPr>
    </w:p>
    <w:p w14:paraId="3D7A4CA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lang w:eastAsia="zh-CN"/>
        </w:rPr>
      </w:pPr>
    </w:p>
    <w:p w14:paraId="42729D4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p>
    <w:p w14:paraId="2446DFE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投标人：（填写“全称”）</w:t>
      </w:r>
    </w:p>
    <w:p w14:paraId="0E259D6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（由投标人填写）年（由投标人填写）月</w:t>
      </w:r>
    </w:p>
    <w:p w14:paraId="17CC3A7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3F45E16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B3D0006">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A4EF9A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索引</w:t>
      </w:r>
    </w:p>
    <w:p w14:paraId="2E0674C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6CD3099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0413C08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二、投标人的资格及资信证明文件</w:t>
      </w:r>
    </w:p>
    <w:p w14:paraId="4C098A6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三、投标保证金</w:t>
      </w:r>
    </w:p>
    <w:p w14:paraId="2B01D18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A9AFD1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4F1B316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31A3025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697DD4BA">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CD6B4F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一、投标函</w:t>
      </w:r>
    </w:p>
    <w:p w14:paraId="4C67EFF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44A0F7B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B07572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兹收到贵单位关于</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（项目编号：　　　　　）</w:t>
      </w:r>
      <w:r>
        <w:rPr>
          <w:rFonts w:hint="eastAsia" w:ascii="宋体" w:hAnsi="宋体" w:eastAsia="宋体" w:cs="宋体"/>
          <w:color w:val="auto"/>
          <w:sz w:val="24"/>
          <w:szCs w:val="24"/>
          <w:highlight w:val="none"/>
        </w:rPr>
        <w:t>的投标邀请，本投标人代表</w:t>
      </w:r>
      <w:r>
        <w:rPr>
          <w:rFonts w:hint="eastAsia" w:ascii="宋体" w:hAnsi="宋体" w:eastAsia="宋体" w:cs="宋体"/>
          <w:color w:val="auto"/>
          <w:sz w:val="24"/>
          <w:szCs w:val="24"/>
          <w:highlight w:val="none"/>
          <w:u w:val="single"/>
        </w:rPr>
        <w:t>（填写“全名”）</w:t>
      </w:r>
      <w:r>
        <w:rPr>
          <w:rFonts w:hint="eastAsia" w:ascii="宋体" w:hAnsi="宋体" w:eastAsia="宋体" w:cs="宋体"/>
          <w:color w:val="auto"/>
          <w:sz w:val="24"/>
          <w:szCs w:val="24"/>
          <w:highlight w:val="none"/>
        </w:rPr>
        <w:t>已获得我方正式授权并代表投标人（</w:t>
      </w:r>
      <w:r>
        <w:rPr>
          <w:rFonts w:hint="eastAsia" w:ascii="宋体" w:hAnsi="宋体" w:eastAsia="宋体" w:cs="宋体"/>
          <w:color w:val="auto"/>
          <w:sz w:val="24"/>
          <w:szCs w:val="24"/>
          <w:highlight w:val="none"/>
          <w:u w:val="single"/>
        </w:rPr>
        <w:t>填写“全称”</w:t>
      </w:r>
      <w:r>
        <w:rPr>
          <w:rFonts w:hint="eastAsia" w:ascii="宋体" w:hAnsi="宋体" w:eastAsia="宋体" w:cs="宋体"/>
          <w:color w:val="auto"/>
          <w:sz w:val="24"/>
          <w:szCs w:val="24"/>
          <w:highlight w:val="none"/>
        </w:rPr>
        <w:t>）参加投标，并提交投标文件。我方提交的全部投标文件由下述部分组成：</w:t>
      </w:r>
    </w:p>
    <w:p w14:paraId="4FA17C3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23C535A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777D6D2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026CB9D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690F113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5A49981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①开标一览表</w:t>
      </w:r>
    </w:p>
    <w:p w14:paraId="075E6C4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②投标分项报价表</w:t>
      </w:r>
    </w:p>
    <w:p w14:paraId="0D6B867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35F48FE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5118170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5181837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274CA78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6875D0C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2862A3E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根据本函，本投标人代表宣布我方保证遵守招标文件的全部规定，同时：</w:t>
      </w:r>
    </w:p>
    <w:p w14:paraId="012E77A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1、确认：</w:t>
      </w:r>
    </w:p>
    <w:p w14:paraId="206E017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1.1所投采购包的投标报价详见“开标一览表”及“投标分项报价表”。</w:t>
      </w:r>
    </w:p>
    <w:p w14:paraId="37CF9BA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0FA33C5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2、承诺及声明：</w:t>
      </w:r>
    </w:p>
    <w:p w14:paraId="3E7F8C6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2.1我方具备招标文件第一章载明的“投标人的资格要求”且符合招标文件第三章载明的“二、投标人”之规定，否则投标无效。</w:t>
      </w:r>
    </w:p>
    <w:p w14:paraId="1F1CA54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2.2我方提交的投标文件各组成部分的全部内容及资料是不可割离且真实、有效、准确、完整和不具有任何误导性的，否则产生不利后果由我方承担责任。</w:t>
      </w:r>
    </w:p>
    <w:p w14:paraId="6CDAB65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2.3我方提供的标的价格不</w:t>
      </w:r>
      <w:r>
        <w:rPr>
          <w:rFonts w:hint="eastAsia" w:ascii="宋体" w:hAnsi="宋体" w:eastAsia="宋体" w:cs="宋体"/>
          <w:color w:val="auto"/>
          <w:sz w:val="24"/>
          <w:szCs w:val="24"/>
          <w:highlight w:val="none"/>
          <w:lang w:eastAsia="zh-CN"/>
        </w:rPr>
        <w:t>低</w:t>
      </w:r>
      <w:r>
        <w:rPr>
          <w:rFonts w:hint="eastAsia" w:ascii="宋体" w:hAnsi="宋体" w:eastAsia="宋体" w:cs="宋体"/>
          <w:color w:val="auto"/>
          <w:sz w:val="24"/>
          <w:szCs w:val="24"/>
          <w:highlight w:val="none"/>
        </w:rPr>
        <w:t>于同期市场价格，否则产生不利后果由我方承担责任。</w:t>
      </w:r>
    </w:p>
    <w:p w14:paraId="3538F39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2.4投标保证金：若出现招标文件第三章规定的不予退还情形，同意贵单位不予退还。</w:t>
      </w:r>
    </w:p>
    <w:p w14:paraId="49E5240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2.5投标有效期：按照招标文件第三章规定执行，并在招标文件第二章载明的期限内保持有效。</w:t>
      </w:r>
    </w:p>
    <w:p w14:paraId="372429D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2.6若中标，将按照招标文件、我方投标文件及采购合同履行责任和义务。</w:t>
      </w:r>
    </w:p>
    <w:p w14:paraId="0C7E0FD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2.7若贵单位要求，我方同意提供与本项目投标有关的一切资料、数据或文件，并完全理解贵单位不一定要接受最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的投标报价或收到的任何投标。</w:t>
      </w:r>
    </w:p>
    <w:p w14:paraId="1F84B11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2.8我方承诺投标文件所提供的全部资料真实可靠，并接受评标委员会、采购人、采购代理机构、监管部门进一步审查其中任何资料真实性的要求。</w:t>
      </w:r>
    </w:p>
    <w:p w14:paraId="203D036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2.9除招标文件另有规定外，对于贵单位按照下述联络方式发出的任何信息或通知，均视为我方已收悉前述信息或通知的全部内容：</w:t>
      </w:r>
    </w:p>
    <w:p w14:paraId="26779CA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通信地址：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0109E95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邮编：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762612E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联系方法：（包括但不限于：联系人、联系电话、手机、传真、电子邮箱等）</w:t>
      </w:r>
    </w:p>
    <w:p w14:paraId="3AF7FDA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投标人：（全称并加盖单位公章）</w:t>
      </w:r>
    </w:p>
    <w:p w14:paraId="2CA0B47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00E0BD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4E6DA4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087289D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4ADD71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28AAA83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488507C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3EA30C4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452D7FD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6036006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134272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0745A0E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二、投标人的资格及资信证明文件</w:t>
      </w:r>
    </w:p>
    <w:p w14:paraId="0883517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3"/>
        <w:rPr>
          <w:rFonts w:hint="eastAsia" w:ascii="宋体" w:hAnsi="宋体" w:eastAsia="宋体" w:cs="宋体"/>
          <w:b/>
          <w:color w:val="auto"/>
          <w:sz w:val="24"/>
          <w:szCs w:val="24"/>
          <w:highlight w:val="none"/>
        </w:rPr>
      </w:pPr>
    </w:p>
    <w:p w14:paraId="05B793A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二-1单位授权书（若有）</w:t>
      </w:r>
    </w:p>
    <w:p w14:paraId="5C59FB8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7DEC88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（填写“投标人代表全名”）</w:t>
      </w:r>
      <w:r>
        <w:rPr>
          <w:rFonts w:hint="eastAsia" w:ascii="宋体" w:hAnsi="宋体" w:eastAsia="宋体" w:cs="宋体"/>
          <w:color w:val="auto"/>
          <w:sz w:val="24"/>
          <w:szCs w:val="24"/>
          <w:highlight w:val="none"/>
        </w:rPr>
        <w:t>为投标人代表，代表我方参加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34E49D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投标人代表无转委权。特此授权。</w:t>
      </w:r>
    </w:p>
    <w:p w14:paraId="3FE9BBC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353D203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12CDB25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30BFA4C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5EC6CC5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334FDD9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DD6DBE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单位负责人签字或盖章：</w:t>
      </w:r>
      <w:r>
        <w:rPr>
          <w:rFonts w:hint="eastAsia" w:ascii="宋体" w:hAnsi="宋体" w:eastAsia="宋体" w:cs="宋体"/>
          <w:color w:val="auto"/>
          <w:sz w:val="24"/>
          <w:szCs w:val="24"/>
          <w:highlight w:val="none"/>
          <w:u w:val="single"/>
        </w:rPr>
        <w:t>    </w:t>
      </w:r>
    </w:p>
    <w:p w14:paraId="5BF2B38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u w:val="single"/>
        </w:rPr>
      </w:pPr>
    </w:p>
    <w:p w14:paraId="2C5B35C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接受授权方</w:t>
      </w:r>
    </w:p>
    <w:p w14:paraId="6C2C353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投标人代表签字：       </w:t>
      </w:r>
    </w:p>
    <w:p w14:paraId="6354470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p w14:paraId="26BD55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附：单位负责人、投标人代表的身份证正反面复印件</w:t>
      </w:r>
    </w:p>
    <w:p w14:paraId="09FF212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39F0CDDC">
      <w:pPr>
        <w:pStyle w:val="30"/>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highlight w:val="none"/>
        </w:rPr>
      </w:pPr>
    </w:p>
    <w:p w14:paraId="766F8FAE">
      <w:pPr>
        <w:pStyle w:val="30"/>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highlight w:val="none"/>
        </w:rPr>
      </w:pPr>
    </w:p>
    <w:p w14:paraId="2BA7DB64">
      <w:pPr>
        <w:pStyle w:val="30"/>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highlight w:val="none"/>
        </w:rPr>
      </w:pPr>
    </w:p>
    <w:p w14:paraId="56ACF77E">
      <w:pPr>
        <w:pStyle w:val="30"/>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highlight w:val="none"/>
        </w:rPr>
      </w:pPr>
    </w:p>
    <w:p w14:paraId="640DF593">
      <w:pPr>
        <w:pStyle w:val="30"/>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highlight w:val="none"/>
        </w:rPr>
      </w:pPr>
    </w:p>
    <w:p w14:paraId="72EFDE61">
      <w:pPr>
        <w:pStyle w:val="30"/>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highlight w:val="none"/>
        </w:rPr>
      </w:pPr>
    </w:p>
    <w:p w14:paraId="03BB4EBB">
      <w:pPr>
        <w:pStyle w:val="30"/>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highlight w:val="none"/>
        </w:rPr>
      </w:pPr>
    </w:p>
    <w:p w14:paraId="3951BD01">
      <w:pPr>
        <w:pStyle w:val="30"/>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highlight w:val="none"/>
        </w:rPr>
      </w:pPr>
    </w:p>
    <w:p w14:paraId="126AFA5B">
      <w:pPr>
        <w:pStyle w:val="30"/>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highlight w:val="none"/>
        </w:rPr>
      </w:pPr>
    </w:p>
    <w:p w14:paraId="7778BB7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要求：真实有效且内容完整、清晰、整洁。</w:t>
      </w:r>
    </w:p>
    <w:p w14:paraId="1138C41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AA55F2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7707657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DF8C6C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1700603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4、投标人为自然人的，可不填写本授权书。</w:t>
      </w:r>
    </w:p>
    <w:p w14:paraId="213A99C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0CDD7EE4">
      <w:pPr>
        <w:keepNext w:val="0"/>
        <w:keepLines w:val="0"/>
        <w:pageBreakBefore w:val="0"/>
        <w:widowControl/>
        <w:kinsoku/>
        <w:overflowPunct/>
        <w:topLinePunct w:val="0"/>
        <w:autoSpaceDE/>
        <w:autoSpaceDN/>
        <w:bidi w:val="0"/>
        <w:spacing w:before="0" w:beforeAutospacing="0" w:after="0" w:afterAutospacing="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2E2EE41">
      <w:pPr>
        <w:pStyle w:val="30"/>
        <w:adjustRightInd w:val="0"/>
        <w:snapToGrid w:val="0"/>
        <w:spacing w:line="360" w:lineRule="auto"/>
        <w:jc w:val="center"/>
        <w:outlineLvl w:val="3"/>
        <w:rPr>
          <w:rFonts w:ascii="宋体" w:hAnsi="宋体" w:eastAsia="宋体" w:cs="宋体"/>
          <w:b/>
          <w:color w:val="auto"/>
          <w:sz w:val="24"/>
          <w:szCs w:val="24"/>
          <w:highlight w:val="none"/>
        </w:rPr>
      </w:pPr>
      <w:r>
        <w:rPr>
          <w:rFonts w:ascii="宋体" w:hAnsi="宋体" w:eastAsia="宋体" w:cs="宋体"/>
          <w:b/>
          <w:color w:val="auto"/>
          <w:sz w:val="24"/>
          <w:szCs w:val="24"/>
          <w:highlight w:val="none"/>
        </w:rPr>
        <w:t>二-2 证明材料</w:t>
      </w:r>
    </w:p>
    <w:p w14:paraId="3BDA99C6">
      <w:pPr>
        <w:pStyle w:val="30"/>
        <w:ind w:firstLine="480"/>
        <w:jc w:val="left"/>
        <w:rPr>
          <w:color w:val="auto"/>
          <w:highlight w:val="none"/>
        </w:rPr>
      </w:pPr>
    </w:p>
    <w:p w14:paraId="22052C0D">
      <w:pPr>
        <w:pStyle w:val="30"/>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w:t>
      </w:r>
      <w:r>
        <w:rPr>
          <w:rFonts w:hint="eastAsia" w:ascii="宋体" w:hAnsi="宋体" w:eastAsia="宋体" w:cs="宋体"/>
          <w:color w:val="auto"/>
          <w:sz w:val="24"/>
          <w:szCs w:val="24"/>
          <w:highlight w:val="none"/>
          <w:lang w:eastAsia="zh-CN"/>
        </w:rPr>
        <w:t>即可</w:t>
      </w:r>
      <w:r>
        <w:rPr>
          <w:rFonts w:hint="eastAsia" w:ascii="宋体" w:hAnsi="宋体" w:eastAsia="宋体" w:cs="宋体"/>
          <w:color w:val="auto"/>
          <w:sz w:val="24"/>
          <w:szCs w:val="24"/>
          <w:highlight w:val="none"/>
        </w:rPr>
        <w:t>。</w:t>
      </w:r>
    </w:p>
    <w:p w14:paraId="45EEF019">
      <w:pPr>
        <w:pStyle w:val="30"/>
        <w:adjustRightInd w:val="0"/>
        <w:snapToGrid w:val="0"/>
        <w:spacing w:line="360" w:lineRule="auto"/>
        <w:jc w:val="center"/>
        <w:outlineLvl w:val="3"/>
        <w:rPr>
          <w:b/>
          <w:color w:val="auto"/>
          <w:sz w:val="24"/>
          <w:highlight w:val="none"/>
        </w:rPr>
      </w:pPr>
    </w:p>
    <w:p w14:paraId="49FB76AD">
      <w:pPr>
        <w:pStyle w:val="30"/>
        <w:adjustRightInd w:val="0"/>
        <w:snapToGrid w:val="0"/>
        <w:spacing w:line="360" w:lineRule="auto"/>
        <w:jc w:val="center"/>
        <w:outlineLvl w:val="3"/>
        <w:rPr>
          <w:b/>
          <w:color w:val="auto"/>
          <w:sz w:val="24"/>
          <w:highlight w:val="none"/>
        </w:rPr>
      </w:pPr>
    </w:p>
    <w:p w14:paraId="716E031C">
      <w:pPr>
        <w:pStyle w:val="30"/>
        <w:adjustRightInd w:val="0"/>
        <w:snapToGrid w:val="0"/>
        <w:spacing w:line="360" w:lineRule="auto"/>
        <w:jc w:val="center"/>
        <w:outlineLvl w:val="3"/>
        <w:rPr>
          <w:b/>
          <w:color w:val="auto"/>
          <w:sz w:val="24"/>
          <w:highlight w:val="none"/>
        </w:rPr>
      </w:pPr>
    </w:p>
    <w:p w14:paraId="4B929A5C">
      <w:pPr>
        <w:pStyle w:val="30"/>
        <w:adjustRightInd w:val="0"/>
        <w:snapToGrid w:val="0"/>
        <w:spacing w:line="360" w:lineRule="auto"/>
        <w:jc w:val="center"/>
        <w:outlineLvl w:val="3"/>
        <w:rPr>
          <w:b/>
          <w:color w:val="auto"/>
          <w:sz w:val="24"/>
          <w:highlight w:val="none"/>
        </w:rPr>
      </w:pPr>
    </w:p>
    <w:p w14:paraId="183FCB8C">
      <w:pPr>
        <w:pStyle w:val="30"/>
        <w:adjustRightInd w:val="0"/>
        <w:snapToGrid w:val="0"/>
        <w:spacing w:line="360" w:lineRule="auto"/>
        <w:jc w:val="center"/>
        <w:outlineLvl w:val="3"/>
        <w:rPr>
          <w:b/>
          <w:color w:val="auto"/>
          <w:sz w:val="24"/>
          <w:highlight w:val="none"/>
        </w:rPr>
      </w:pPr>
    </w:p>
    <w:p w14:paraId="419AEE49">
      <w:pPr>
        <w:pStyle w:val="30"/>
        <w:adjustRightInd w:val="0"/>
        <w:snapToGrid w:val="0"/>
        <w:spacing w:line="360" w:lineRule="auto"/>
        <w:jc w:val="center"/>
        <w:outlineLvl w:val="3"/>
        <w:rPr>
          <w:b/>
          <w:color w:val="auto"/>
          <w:sz w:val="24"/>
          <w:highlight w:val="none"/>
        </w:rPr>
      </w:pPr>
    </w:p>
    <w:p w14:paraId="3D73C4D4">
      <w:pPr>
        <w:pStyle w:val="30"/>
        <w:adjustRightInd w:val="0"/>
        <w:snapToGrid w:val="0"/>
        <w:spacing w:line="360" w:lineRule="auto"/>
        <w:jc w:val="center"/>
        <w:outlineLvl w:val="3"/>
        <w:rPr>
          <w:b/>
          <w:color w:val="auto"/>
          <w:sz w:val="24"/>
          <w:highlight w:val="none"/>
        </w:rPr>
      </w:pPr>
    </w:p>
    <w:p w14:paraId="29C9535A">
      <w:pPr>
        <w:pStyle w:val="30"/>
        <w:adjustRightInd w:val="0"/>
        <w:snapToGrid w:val="0"/>
        <w:spacing w:line="360" w:lineRule="auto"/>
        <w:jc w:val="center"/>
        <w:outlineLvl w:val="3"/>
        <w:rPr>
          <w:b/>
          <w:color w:val="auto"/>
          <w:sz w:val="24"/>
          <w:highlight w:val="none"/>
        </w:rPr>
      </w:pPr>
    </w:p>
    <w:p w14:paraId="71CF8DF4">
      <w:pPr>
        <w:pStyle w:val="30"/>
        <w:adjustRightInd w:val="0"/>
        <w:snapToGrid w:val="0"/>
        <w:spacing w:line="360" w:lineRule="auto"/>
        <w:jc w:val="center"/>
        <w:outlineLvl w:val="3"/>
        <w:rPr>
          <w:b/>
          <w:color w:val="auto"/>
          <w:sz w:val="24"/>
          <w:highlight w:val="none"/>
        </w:rPr>
      </w:pPr>
    </w:p>
    <w:p w14:paraId="14406BA8">
      <w:pPr>
        <w:pStyle w:val="30"/>
        <w:adjustRightInd w:val="0"/>
        <w:snapToGrid w:val="0"/>
        <w:spacing w:line="360" w:lineRule="auto"/>
        <w:jc w:val="center"/>
        <w:outlineLvl w:val="3"/>
        <w:rPr>
          <w:b/>
          <w:color w:val="auto"/>
          <w:sz w:val="24"/>
          <w:highlight w:val="none"/>
        </w:rPr>
      </w:pPr>
    </w:p>
    <w:p w14:paraId="1C9335E9">
      <w:pPr>
        <w:pStyle w:val="30"/>
        <w:adjustRightInd w:val="0"/>
        <w:snapToGrid w:val="0"/>
        <w:spacing w:line="360" w:lineRule="auto"/>
        <w:jc w:val="center"/>
        <w:outlineLvl w:val="3"/>
        <w:rPr>
          <w:b/>
          <w:color w:val="auto"/>
          <w:sz w:val="24"/>
          <w:highlight w:val="none"/>
        </w:rPr>
      </w:pPr>
    </w:p>
    <w:p w14:paraId="208A5EC8">
      <w:pPr>
        <w:pStyle w:val="30"/>
        <w:adjustRightInd w:val="0"/>
        <w:snapToGrid w:val="0"/>
        <w:spacing w:line="360" w:lineRule="auto"/>
        <w:jc w:val="center"/>
        <w:outlineLvl w:val="3"/>
        <w:rPr>
          <w:b/>
          <w:color w:val="auto"/>
          <w:sz w:val="24"/>
          <w:highlight w:val="none"/>
        </w:rPr>
      </w:pPr>
    </w:p>
    <w:p w14:paraId="7F70B1E4">
      <w:pPr>
        <w:pStyle w:val="30"/>
        <w:adjustRightInd w:val="0"/>
        <w:snapToGrid w:val="0"/>
        <w:spacing w:line="360" w:lineRule="auto"/>
        <w:jc w:val="center"/>
        <w:outlineLvl w:val="3"/>
        <w:rPr>
          <w:b/>
          <w:color w:val="auto"/>
          <w:sz w:val="24"/>
          <w:highlight w:val="none"/>
        </w:rPr>
      </w:pPr>
    </w:p>
    <w:p w14:paraId="3BBC2BD4">
      <w:pPr>
        <w:pStyle w:val="30"/>
        <w:adjustRightInd w:val="0"/>
        <w:snapToGrid w:val="0"/>
        <w:spacing w:line="360" w:lineRule="auto"/>
        <w:jc w:val="center"/>
        <w:outlineLvl w:val="3"/>
        <w:rPr>
          <w:b/>
          <w:color w:val="auto"/>
          <w:sz w:val="24"/>
          <w:highlight w:val="none"/>
        </w:rPr>
      </w:pPr>
    </w:p>
    <w:p w14:paraId="2D4011D6">
      <w:pPr>
        <w:pStyle w:val="30"/>
        <w:adjustRightInd w:val="0"/>
        <w:snapToGrid w:val="0"/>
        <w:spacing w:line="360" w:lineRule="auto"/>
        <w:jc w:val="center"/>
        <w:outlineLvl w:val="3"/>
        <w:rPr>
          <w:b/>
          <w:color w:val="auto"/>
          <w:sz w:val="24"/>
          <w:highlight w:val="none"/>
        </w:rPr>
      </w:pPr>
    </w:p>
    <w:p w14:paraId="60ECFF49">
      <w:pPr>
        <w:pStyle w:val="30"/>
        <w:adjustRightInd w:val="0"/>
        <w:snapToGrid w:val="0"/>
        <w:spacing w:line="360" w:lineRule="auto"/>
        <w:jc w:val="center"/>
        <w:outlineLvl w:val="3"/>
        <w:rPr>
          <w:b/>
          <w:color w:val="auto"/>
          <w:sz w:val="24"/>
          <w:highlight w:val="none"/>
        </w:rPr>
      </w:pPr>
    </w:p>
    <w:p w14:paraId="6596F114">
      <w:pPr>
        <w:pStyle w:val="30"/>
        <w:adjustRightInd w:val="0"/>
        <w:snapToGrid w:val="0"/>
        <w:spacing w:line="360" w:lineRule="auto"/>
        <w:jc w:val="center"/>
        <w:outlineLvl w:val="3"/>
        <w:rPr>
          <w:b/>
          <w:color w:val="auto"/>
          <w:sz w:val="24"/>
          <w:highlight w:val="none"/>
        </w:rPr>
      </w:pPr>
    </w:p>
    <w:p w14:paraId="4804EFB3">
      <w:pPr>
        <w:pStyle w:val="30"/>
        <w:adjustRightInd w:val="0"/>
        <w:snapToGrid w:val="0"/>
        <w:spacing w:line="360" w:lineRule="auto"/>
        <w:jc w:val="center"/>
        <w:outlineLvl w:val="3"/>
        <w:rPr>
          <w:b/>
          <w:color w:val="auto"/>
          <w:sz w:val="24"/>
          <w:highlight w:val="none"/>
        </w:rPr>
      </w:pPr>
    </w:p>
    <w:p w14:paraId="7BA6C7BB">
      <w:pPr>
        <w:pStyle w:val="30"/>
        <w:adjustRightInd w:val="0"/>
        <w:snapToGrid w:val="0"/>
        <w:spacing w:line="360" w:lineRule="auto"/>
        <w:jc w:val="center"/>
        <w:outlineLvl w:val="3"/>
        <w:rPr>
          <w:b/>
          <w:color w:val="auto"/>
          <w:sz w:val="24"/>
          <w:highlight w:val="none"/>
        </w:rPr>
      </w:pPr>
    </w:p>
    <w:p w14:paraId="3D03A60E">
      <w:pPr>
        <w:pStyle w:val="30"/>
        <w:adjustRightInd w:val="0"/>
        <w:snapToGrid w:val="0"/>
        <w:spacing w:line="360" w:lineRule="auto"/>
        <w:jc w:val="center"/>
        <w:outlineLvl w:val="3"/>
        <w:rPr>
          <w:b/>
          <w:color w:val="auto"/>
          <w:sz w:val="24"/>
          <w:highlight w:val="none"/>
        </w:rPr>
      </w:pPr>
    </w:p>
    <w:p w14:paraId="41252524">
      <w:pPr>
        <w:pStyle w:val="30"/>
        <w:adjustRightInd w:val="0"/>
        <w:snapToGrid w:val="0"/>
        <w:spacing w:line="360" w:lineRule="auto"/>
        <w:jc w:val="center"/>
        <w:outlineLvl w:val="3"/>
        <w:rPr>
          <w:b/>
          <w:color w:val="auto"/>
          <w:sz w:val="24"/>
          <w:highlight w:val="none"/>
        </w:rPr>
      </w:pPr>
    </w:p>
    <w:p w14:paraId="5A5C9E51">
      <w:pPr>
        <w:pStyle w:val="30"/>
        <w:adjustRightInd w:val="0"/>
        <w:snapToGrid w:val="0"/>
        <w:spacing w:line="360" w:lineRule="auto"/>
        <w:jc w:val="center"/>
        <w:outlineLvl w:val="3"/>
        <w:rPr>
          <w:b/>
          <w:color w:val="auto"/>
          <w:sz w:val="24"/>
          <w:highlight w:val="none"/>
        </w:rPr>
      </w:pPr>
    </w:p>
    <w:p w14:paraId="6F512482">
      <w:pPr>
        <w:pStyle w:val="30"/>
        <w:adjustRightInd w:val="0"/>
        <w:snapToGrid w:val="0"/>
        <w:spacing w:line="360" w:lineRule="auto"/>
        <w:jc w:val="center"/>
        <w:outlineLvl w:val="3"/>
        <w:rPr>
          <w:b/>
          <w:color w:val="auto"/>
          <w:sz w:val="24"/>
          <w:highlight w:val="none"/>
        </w:rPr>
      </w:pPr>
    </w:p>
    <w:p w14:paraId="20F2137E">
      <w:pPr>
        <w:pStyle w:val="30"/>
        <w:adjustRightInd w:val="0"/>
        <w:snapToGrid w:val="0"/>
        <w:spacing w:line="360" w:lineRule="auto"/>
        <w:jc w:val="center"/>
        <w:outlineLvl w:val="3"/>
        <w:rPr>
          <w:b/>
          <w:color w:val="auto"/>
          <w:sz w:val="24"/>
          <w:highlight w:val="none"/>
        </w:rPr>
      </w:pPr>
    </w:p>
    <w:p w14:paraId="247A4092">
      <w:pPr>
        <w:pStyle w:val="30"/>
        <w:adjustRightInd w:val="0"/>
        <w:snapToGrid w:val="0"/>
        <w:spacing w:line="360" w:lineRule="auto"/>
        <w:jc w:val="center"/>
        <w:outlineLvl w:val="3"/>
        <w:rPr>
          <w:b/>
          <w:color w:val="auto"/>
          <w:sz w:val="24"/>
          <w:highlight w:val="none"/>
        </w:rPr>
      </w:pPr>
    </w:p>
    <w:p w14:paraId="3637CBB8">
      <w:pPr>
        <w:pStyle w:val="30"/>
        <w:adjustRightInd w:val="0"/>
        <w:snapToGrid w:val="0"/>
        <w:spacing w:line="360" w:lineRule="auto"/>
        <w:jc w:val="center"/>
        <w:outlineLvl w:val="3"/>
        <w:rPr>
          <w:b/>
          <w:color w:val="auto"/>
          <w:sz w:val="24"/>
          <w:highlight w:val="none"/>
        </w:rPr>
      </w:pPr>
    </w:p>
    <w:p w14:paraId="6C3FABFA">
      <w:pPr>
        <w:pStyle w:val="30"/>
        <w:adjustRightInd w:val="0"/>
        <w:snapToGrid w:val="0"/>
        <w:spacing w:line="360" w:lineRule="auto"/>
        <w:jc w:val="center"/>
        <w:outlineLvl w:val="3"/>
        <w:rPr>
          <w:b/>
          <w:color w:val="auto"/>
          <w:sz w:val="24"/>
          <w:highlight w:val="none"/>
        </w:rPr>
      </w:pPr>
    </w:p>
    <w:p w14:paraId="5FCEFA5F">
      <w:pPr>
        <w:pStyle w:val="30"/>
        <w:adjustRightInd w:val="0"/>
        <w:snapToGrid w:val="0"/>
        <w:spacing w:line="360" w:lineRule="auto"/>
        <w:jc w:val="center"/>
        <w:outlineLvl w:val="3"/>
        <w:rPr>
          <w:b/>
          <w:color w:val="auto"/>
          <w:sz w:val="24"/>
          <w:highlight w:val="none"/>
        </w:rPr>
      </w:pPr>
    </w:p>
    <w:p w14:paraId="2D4ED050">
      <w:pPr>
        <w:pStyle w:val="30"/>
        <w:adjustRightInd w:val="0"/>
        <w:snapToGrid w:val="0"/>
        <w:spacing w:line="360" w:lineRule="auto"/>
        <w:jc w:val="center"/>
        <w:outlineLvl w:val="3"/>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 xml:space="preserve">二-2-1 </w:t>
      </w:r>
      <w:r>
        <w:rPr>
          <w:rFonts w:hint="eastAsia" w:ascii="宋体" w:hAnsi="宋体" w:eastAsia="宋体" w:cs="宋体"/>
          <w:b/>
          <w:color w:val="auto"/>
          <w:sz w:val="24"/>
          <w:szCs w:val="24"/>
          <w:highlight w:val="none"/>
        </w:rPr>
        <w:t>供应商资格承诺函</w:t>
      </w:r>
    </w:p>
    <w:p w14:paraId="45F3ADE6">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致(采购人或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w:t>
      </w:r>
    </w:p>
    <w:p w14:paraId="68A384DF">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单位名称(自然人姓名)</w:t>
      </w:r>
      <w:r>
        <w:rPr>
          <w:rFonts w:hint="eastAsia" w:ascii="宋体" w:hAnsi="宋体" w:eastAsia="宋体" w:cs="宋体"/>
          <w:color w:val="auto"/>
          <w:sz w:val="24"/>
          <w:szCs w:val="24"/>
          <w:highlight w:val="none"/>
          <w:lang w:eastAsia="zh-CN"/>
        </w:rPr>
        <w:t>：</w:t>
      </w:r>
    </w:p>
    <w:p w14:paraId="101FE5CD">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统一社会信用代码(自然人身份证号码)</w:t>
      </w:r>
      <w:r>
        <w:rPr>
          <w:rFonts w:hint="eastAsia" w:ascii="宋体" w:hAnsi="宋体" w:eastAsia="宋体" w:cs="宋体"/>
          <w:color w:val="auto"/>
          <w:sz w:val="24"/>
          <w:szCs w:val="24"/>
          <w:highlight w:val="none"/>
          <w:lang w:eastAsia="zh-CN"/>
        </w:rPr>
        <w:t>：</w:t>
      </w:r>
    </w:p>
    <w:p w14:paraId="3785FD23">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lang w:eastAsia="zh-CN"/>
        </w:rPr>
        <w:t>：</w:t>
      </w:r>
    </w:p>
    <w:p w14:paraId="24F21A95">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联系地址和电话</w:t>
      </w:r>
      <w:r>
        <w:rPr>
          <w:rFonts w:hint="eastAsia" w:ascii="宋体" w:hAnsi="宋体" w:eastAsia="宋体" w:cs="宋体"/>
          <w:color w:val="auto"/>
          <w:sz w:val="24"/>
          <w:szCs w:val="24"/>
          <w:highlight w:val="none"/>
          <w:lang w:eastAsia="zh-CN"/>
        </w:rPr>
        <w:t>：</w:t>
      </w:r>
    </w:p>
    <w:p w14:paraId="07D5DF83">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p>
    <w:p w14:paraId="1E795407">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我单位(本人)自愿参加本次采购活动，严格遵守相关法律法规，坚守公开、公平公正和诚实信用等原则，依法诚信经营，并郑重承诺</w:t>
      </w:r>
      <w:r>
        <w:rPr>
          <w:rFonts w:hint="eastAsia" w:ascii="宋体" w:hAnsi="宋体" w:eastAsia="宋体" w:cs="宋体"/>
          <w:color w:val="auto"/>
          <w:sz w:val="24"/>
          <w:szCs w:val="24"/>
          <w:highlight w:val="none"/>
          <w:lang w:eastAsia="zh-CN"/>
        </w:rPr>
        <w:t>：</w:t>
      </w:r>
    </w:p>
    <w:p w14:paraId="0CBFAD80">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采购文件要求以及规定的</w:t>
      </w:r>
      <w:r>
        <w:rPr>
          <w:rFonts w:hint="eastAsia" w:ascii="宋体" w:hAnsi="宋体" w:eastAsia="宋体" w:cs="宋体"/>
          <w:color w:val="auto"/>
          <w:sz w:val="24"/>
          <w:szCs w:val="24"/>
          <w:highlight w:val="none"/>
          <w:lang w:eastAsia="zh-CN"/>
        </w:rPr>
        <w:t>以下</w:t>
      </w:r>
      <w:r>
        <w:rPr>
          <w:rFonts w:hint="eastAsia" w:ascii="宋体" w:hAnsi="宋体" w:eastAsia="宋体" w:cs="宋体"/>
          <w:color w:val="auto"/>
          <w:sz w:val="24"/>
          <w:szCs w:val="24"/>
          <w:highlight w:val="none"/>
        </w:rPr>
        <w:t>条件</w:t>
      </w:r>
      <w:r>
        <w:rPr>
          <w:rFonts w:hint="eastAsia" w:ascii="宋体" w:hAnsi="宋体" w:eastAsia="宋体" w:cs="宋体"/>
          <w:color w:val="auto"/>
          <w:sz w:val="24"/>
          <w:szCs w:val="24"/>
          <w:highlight w:val="none"/>
          <w:lang w:eastAsia="zh-CN"/>
        </w:rPr>
        <w:t>：</w:t>
      </w:r>
    </w:p>
    <w:p w14:paraId="285AE241">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1.具有独立承担民事责任的能力</w:t>
      </w:r>
      <w:r>
        <w:rPr>
          <w:rFonts w:hint="eastAsia" w:ascii="宋体" w:hAnsi="宋体" w:eastAsia="宋体" w:cs="宋体"/>
          <w:color w:val="auto"/>
          <w:sz w:val="24"/>
          <w:szCs w:val="24"/>
          <w:highlight w:val="none"/>
          <w:lang w:eastAsia="zh-CN"/>
        </w:rPr>
        <w:t>；</w:t>
      </w:r>
    </w:p>
    <w:p w14:paraId="755A93EE">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2.具有良好的商业信誉和健全的财务会计制度</w:t>
      </w:r>
      <w:r>
        <w:rPr>
          <w:rFonts w:hint="eastAsia" w:ascii="宋体" w:hAnsi="宋体" w:eastAsia="宋体" w:cs="宋体"/>
          <w:color w:val="auto"/>
          <w:sz w:val="24"/>
          <w:szCs w:val="24"/>
          <w:highlight w:val="none"/>
          <w:lang w:eastAsia="zh-CN"/>
        </w:rPr>
        <w:t>；</w:t>
      </w:r>
    </w:p>
    <w:p w14:paraId="3A50A7D2">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eastAsia="宋体" w:cs="宋体"/>
          <w:color w:val="auto"/>
          <w:sz w:val="24"/>
          <w:szCs w:val="24"/>
          <w:highlight w:val="none"/>
          <w:lang w:eastAsia="zh-CN"/>
        </w:rPr>
        <w:t>；</w:t>
      </w:r>
    </w:p>
    <w:p w14:paraId="2184D8AE">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4.有依法缴纳税收和社会保障资金的良好记录</w:t>
      </w:r>
      <w:r>
        <w:rPr>
          <w:rFonts w:hint="eastAsia" w:ascii="宋体" w:hAnsi="宋体" w:eastAsia="宋体" w:cs="宋体"/>
          <w:color w:val="auto"/>
          <w:sz w:val="24"/>
          <w:szCs w:val="24"/>
          <w:highlight w:val="none"/>
          <w:lang w:eastAsia="zh-CN"/>
        </w:rPr>
        <w:t>；</w:t>
      </w:r>
    </w:p>
    <w:p w14:paraId="7777B432">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5.参加采购活动前三年内，在经营活动中没有重大违法记录</w:t>
      </w:r>
      <w:r>
        <w:rPr>
          <w:rFonts w:hint="eastAsia" w:ascii="宋体" w:hAnsi="宋体" w:eastAsia="宋体" w:cs="宋体"/>
          <w:color w:val="auto"/>
          <w:sz w:val="24"/>
          <w:szCs w:val="24"/>
          <w:highlight w:val="none"/>
          <w:lang w:eastAsia="zh-CN"/>
        </w:rPr>
        <w:t>；</w:t>
      </w:r>
    </w:p>
    <w:p w14:paraId="0A10D8E7">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7D2F1F44">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情形。</w:t>
      </w:r>
    </w:p>
    <w:p w14:paraId="504A6D9A">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提供虚假材料谋取中标成交”违法情形。经调查属实的，愿意接受监管部门按照“处以采购金额千分之五以上千分之十以下的罚款，列入不良行为记录名单，在一至三年内禁止参加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062467BA">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p>
    <w:p w14:paraId="7A15DADB">
      <w:pPr>
        <w:keepNext w:val="0"/>
        <w:keepLines w:val="0"/>
        <w:pageBreakBefore w:val="0"/>
        <w:widowControl w:val="0"/>
        <w:kinsoku/>
        <w:wordWrap/>
        <w:overflowPunct/>
        <w:topLinePunct w:val="0"/>
        <w:autoSpaceDE/>
        <w:autoSpaceDN/>
        <w:bidi w:val="0"/>
        <w:adjustRightInd/>
        <w:snapToGrid/>
        <w:spacing w:before="0" w:after="0" w:line="400" w:lineRule="exact"/>
        <w:ind w:firstLine="2640" w:firstLineChars="1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供应商名称(单位公章)</w:t>
      </w:r>
      <w:r>
        <w:rPr>
          <w:rFonts w:hint="eastAsia" w:ascii="宋体" w:hAnsi="宋体" w:eastAsia="宋体" w:cs="宋体"/>
          <w:color w:val="auto"/>
          <w:sz w:val="24"/>
          <w:szCs w:val="24"/>
          <w:highlight w:val="none"/>
          <w:lang w:eastAsia="zh-CN"/>
        </w:rPr>
        <w:t>：</w:t>
      </w:r>
    </w:p>
    <w:p w14:paraId="7143C23F">
      <w:pPr>
        <w:keepNext w:val="0"/>
        <w:keepLines w:val="0"/>
        <w:pageBreakBefore w:val="0"/>
        <w:widowControl w:val="0"/>
        <w:kinsoku/>
        <w:wordWrap/>
        <w:overflowPunct/>
        <w:topLinePunct w:val="0"/>
        <w:autoSpaceDE/>
        <w:autoSpaceDN/>
        <w:bidi w:val="0"/>
        <w:adjustRightInd/>
        <w:snapToGrid/>
        <w:spacing w:before="0" w:after="0" w:line="400" w:lineRule="exact"/>
        <w:ind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480C1322">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color w:val="auto"/>
          <w:sz w:val="24"/>
          <w:szCs w:val="24"/>
          <w:highlight w:val="none"/>
        </w:rPr>
      </w:pPr>
    </w:p>
    <w:p w14:paraId="156683CA">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p>
    <w:p w14:paraId="59DFAFE8">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1.我单位(本人)专指参加采购活动的供应商(含自然人)</w:t>
      </w:r>
      <w:r>
        <w:rPr>
          <w:rFonts w:hint="eastAsia" w:ascii="宋体" w:hAnsi="宋体" w:eastAsia="宋体" w:cs="宋体"/>
          <w:color w:val="auto"/>
          <w:sz w:val="24"/>
          <w:szCs w:val="24"/>
          <w:highlight w:val="none"/>
          <w:lang w:eastAsia="zh-CN"/>
        </w:rPr>
        <w:t>；</w:t>
      </w:r>
    </w:p>
    <w:p w14:paraId="7B7366D2">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在投标(响应)文件中按此模板提供承诺函，否则，视为</w:t>
      </w:r>
      <w:r>
        <w:rPr>
          <w:rFonts w:hint="eastAsia" w:ascii="宋体" w:hAnsi="宋体" w:eastAsia="宋体" w:cs="宋体"/>
          <w:color w:val="auto"/>
          <w:sz w:val="24"/>
          <w:szCs w:val="24"/>
          <w:highlight w:val="none"/>
          <w:lang w:eastAsia="zh-CN"/>
        </w:rPr>
        <w:t>未按照招标文件规定提交投标人的资格及资信文件，按资格审查不通过处理。</w:t>
      </w:r>
    </w:p>
    <w:p w14:paraId="4A3BFF7B">
      <w:pPr>
        <w:pStyle w:val="30"/>
        <w:keepNext w:val="0"/>
        <w:keepLines w:val="0"/>
        <w:pageBreakBefore w:val="0"/>
        <w:kinsoku/>
        <w:wordWrap/>
        <w:overflowPunct/>
        <w:topLinePunct w:val="0"/>
        <w:autoSpaceDE/>
        <w:autoSpaceDN/>
        <w:bidi w:val="0"/>
        <w:adjustRightInd w:val="0"/>
        <w:snapToGrid w:val="0"/>
        <w:spacing w:line="400" w:lineRule="exact"/>
        <w:ind w:firstLine="960"/>
        <w:jc w:val="both"/>
        <w:textAlignment w:val="auto"/>
        <w:rPr>
          <w:rFonts w:hint="eastAsia" w:ascii="宋体" w:hAnsi="宋体" w:eastAsia="宋体" w:cs="宋体"/>
          <w:color w:val="auto"/>
          <w:sz w:val="24"/>
          <w:szCs w:val="24"/>
          <w:highlight w:val="none"/>
        </w:rPr>
      </w:pPr>
    </w:p>
    <w:p w14:paraId="2A0D728F">
      <w:pPr>
        <w:pStyle w:val="30"/>
        <w:adjustRightInd w:val="0"/>
        <w:snapToGrid w:val="0"/>
        <w:spacing w:line="360" w:lineRule="auto"/>
        <w:jc w:val="center"/>
        <w:outlineLvl w:val="3"/>
        <w:rPr>
          <w:rFonts w:ascii="宋体" w:hAnsi="宋体" w:eastAsia="宋体" w:cs="宋体"/>
          <w:b/>
          <w:color w:val="auto"/>
          <w:sz w:val="24"/>
          <w:szCs w:val="24"/>
          <w:highlight w:val="none"/>
        </w:rPr>
      </w:pPr>
      <w:r>
        <w:rPr>
          <w:rFonts w:ascii="宋体" w:hAnsi="宋体" w:eastAsia="宋体" w:cs="宋体"/>
          <w:b/>
          <w:color w:val="auto"/>
          <w:sz w:val="24"/>
          <w:szCs w:val="24"/>
          <w:highlight w:val="none"/>
        </w:rPr>
        <w:t>二-2-2 资格证明材料</w:t>
      </w:r>
    </w:p>
    <w:p w14:paraId="5071C40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p>
    <w:p w14:paraId="256425E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营业执照等证明文件</w:t>
      </w:r>
    </w:p>
    <w:p w14:paraId="7CB9D9B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b/>
          <w:color w:val="auto"/>
          <w:sz w:val="24"/>
          <w:szCs w:val="24"/>
          <w:highlight w:val="none"/>
        </w:rPr>
      </w:pPr>
    </w:p>
    <w:p w14:paraId="0A0E825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1AA9DA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）投标人为法人（包括企业、事业单位和社会团体）的</w:t>
      </w:r>
    </w:p>
    <w:p w14:paraId="28D8AF8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签发的我方统一社会信用代码（请填写法人的具体证照名称）复印件，该证明材料真实有效，否则我方负全部责任。</w:t>
      </w:r>
    </w:p>
    <w:p w14:paraId="6D5C051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）投标人为非法人（包括其他组织、自然人）的</w:t>
      </w:r>
    </w:p>
    <w:p w14:paraId="73FFF1E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签发的我方（请填写非自然人的非法人的具体证照名称）复印件，该证明材料真实有效，否则我方负全部责任。</w:t>
      </w:r>
    </w:p>
    <w:p w14:paraId="69BBDB1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签发的我方（请填写自然人的身份证件名称）复印件，该证明材料真实有效，否则我方负全部责任。</w:t>
      </w:r>
    </w:p>
    <w:p w14:paraId="61E9EEF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4E3CE4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35B4535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185257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p>
    <w:p w14:paraId="352B648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p>
    <w:p w14:paraId="6B063C2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p>
    <w:p w14:paraId="3D052D6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1DE4BC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7D64165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52C72BA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64E4FEC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财务状况报告（财务报告、或资信证明）</w:t>
      </w:r>
    </w:p>
    <w:p w14:paraId="07937AA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b/>
          <w:color w:val="auto"/>
          <w:sz w:val="24"/>
          <w:szCs w:val="24"/>
          <w:highlight w:val="none"/>
        </w:rPr>
      </w:pPr>
    </w:p>
    <w:p w14:paraId="04614EE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03E2A0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）投标人提供财务报告的</w:t>
      </w:r>
    </w:p>
    <w:p w14:paraId="6035142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（填写“具体的年度、或半年度、季度”）</w:t>
      </w:r>
      <w:r>
        <w:rPr>
          <w:rFonts w:hint="eastAsia" w:ascii="宋体" w:hAnsi="宋体" w:eastAsia="宋体" w:cs="宋体"/>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5A277C1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5FD9E10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7152D72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）投标人提供资信证明的</w:t>
      </w:r>
    </w:p>
    <w:p w14:paraId="0315C2E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7DAAC7C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5345FB4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6BEE62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01054DA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2、投标人提供的财务报告复印件（成立年限按照投标截止时间推算）应符合下列规定：</w:t>
      </w:r>
    </w:p>
    <w:p w14:paraId="75E61A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2.1成立年限满1年及以上的投标人，提供经审计的招标文件规定的年度财务报告。</w:t>
      </w:r>
    </w:p>
    <w:p w14:paraId="326B9B8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2.2成立年限满半年但不足1年的投标人，提供该半年度中任一季度的季度财务报告或该半年度的半年度财务报告。</w:t>
      </w:r>
    </w:p>
    <w:p w14:paraId="13B455D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8B7CC2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3D8BA1D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19A7195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57AA02E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6667667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E5CA57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4D04562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7E9F545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依法缴纳税收证明材料</w:t>
      </w:r>
    </w:p>
    <w:p w14:paraId="5648759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1347C86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8D8D2C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1、依法缴纳税收的投标人</w:t>
      </w:r>
    </w:p>
    <w:p w14:paraId="46556A0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0B98E79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3618C94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7DD70FB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4C2BAD3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2、依法免税的投标人</w:t>
      </w:r>
    </w:p>
    <w:p w14:paraId="5DD95E8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4766A9B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F4F6B3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0F04BEF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2、投标人提供的税收缴纳凭据复印件应符合下列规定：</w:t>
      </w:r>
    </w:p>
    <w:p w14:paraId="697C4B5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505CEAC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68521B0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3、若为依法免税范围的投标人，提供依法免税证明材料的，视同满足本项资格条件要求。</w:t>
      </w:r>
    </w:p>
    <w:p w14:paraId="572CAD1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p>
    <w:p w14:paraId="0383CF4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C437EC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1120AB7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19B5213F">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372D6A1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依法缴纳社会保障资金证明材料</w:t>
      </w:r>
    </w:p>
    <w:p w14:paraId="06C3F32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32A3EAC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5C01D9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1、依法缴纳社会保障资金的投标人</w:t>
      </w:r>
    </w:p>
    <w:p w14:paraId="4C25BCD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086CC48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47095B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2D557E1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30D90A2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2、依法不需要缴纳或暂缓缴纳社会保障资金的投标人</w:t>
      </w:r>
    </w:p>
    <w:p w14:paraId="00F8609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）现附上我方依法不需要缴纳或暂缓缴纳社会保障资金证明材料复印件，上述证明材料真实有效，否则我方负全部责任。</w:t>
      </w:r>
    </w:p>
    <w:p w14:paraId="52F9C6D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375953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4B3F640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2、投标人提供的社会保障资金缴纳凭据复印件应符合下列规定：</w:t>
      </w:r>
    </w:p>
    <w:p w14:paraId="4085173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25B0045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245BFC2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3、若为依法不需要缴纳或暂缓缴纳社会保障资金的投标人，提供依法不需要缴纳或暂缓缴纳社会保障资金证明材料的，视同满足本项资格条件要求。</w:t>
      </w:r>
    </w:p>
    <w:p w14:paraId="05EE528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p>
    <w:p w14:paraId="0677A7A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7A1B1B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74BA594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040D4EE1">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4F752E0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具备履行合同所必需设备和专业技术能力的声明函（若有）</w:t>
      </w:r>
    </w:p>
    <w:p w14:paraId="727623E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5855A22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B1D7B3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我方具备履行合同所必需的设备和专业技术能力，否则产生不利后果由我方承担责任。</w:t>
      </w:r>
    </w:p>
    <w:p w14:paraId="415B26F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89DA52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B304F7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1、招标文件未要求投标人提供“具备履行合同所必需的设备和专业技术能力专项证明材料”的，投标人应提供本声明函。</w:t>
      </w:r>
    </w:p>
    <w:p w14:paraId="3195055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2、招标文件要求投标人提供“具备履行合同所必需的设备和专业技术能力专项证明材料”的，投标人可不提供本声明函。</w:t>
      </w:r>
    </w:p>
    <w:p w14:paraId="79C573C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3、请投标人根据实际情况如实声明，否则视为提供虚假材料。</w:t>
      </w:r>
    </w:p>
    <w:p w14:paraId="643ED56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66D4014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182FBB4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E42912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39A702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70FDDDC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494B29D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1B3AAED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51AC9B7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参加采购活动前三年内在经营活动中没有重大违法记录书面声明</w:t>
      </w:r>
    </w:p>
    <w:p w14:paraId="69A8419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5CCB376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C875D2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E1F3F8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315345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A8BDFD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DC48EA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请投标人根据实际情况如实声明，否则视为提供虚假材料。</w:t>
      </w:r>
    </w:p>
    <w:p w14:paraId="0E25F6A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p>
    <w:p w14:paraId="301018C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p>
    <w:p w14:paraId="476E696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21C3448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1B18BC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4CA6ABD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13925A6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信用记录查询提示</w:t>
      </w:r>
    </w:p>
    <w:p w14:paraId="7AD8326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05BD834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1、由资格审查小组通过网站查询并打印投标人的信用记录。</w:t>
      </w:r>
    </w:p>
    <w:p w14:paraId="50B2F22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966C93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3A85535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5D210D3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7EA3FB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供应商廉洁承诺书</w:t>
      </w:r>
    </w:p>
    <w:p w14:paraId="6F5398F1">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福州大学附属省立医院：</w:t>
      </w:r>
    </w:p>
    <w:p w14:paraId="0A510151">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为加强廉政建设工作，树立廉洁自律形象，根据国家法律法规和廉政建设有关规定，</w:t>
      </w:r>
      <w:r>
        <w:rPr>
          <w:rFonts w:hint="eastAsia" w:asciiTheme="minorEastAsia" w:hAnsiTheme="minorEastAsia" w:eastAsiaTheme="minorEastAsia" w:cstheme="minorEastAsia"/>
          <w:color w:val="auto"/>
          <w:sz w:val="24"/>
          <w:szCs w:val="24"/>
          <w:highlight w:val="none"/>
          <w:lang w:val="en-US" w:eastAsia="zh-CN"/>
        </w:rPr>
        <w:t>我公司现对贵单位</w:t>
      </w:r>
      <w:r>
        <w:rPr>
          <w:rFonts w:hint="eastAsia" w:asciiTheme="minorEastAsia" w:hAnsiTheme="minorEastAsia" w:eastAsiaTheme="minorEastAsia" w:cstheme="minorEastAsia"/>
          <w:color w:val="auto"/>
          <w:sz w:val="24"/>
          <w:szCs w:val="24"/>
          <w:highlight w:val="none"/>
        </w:rPr>
        <w:t>作出如下承诺：</w:t>
      </w:r>
    </w:p>
    <w:p w14:paraId="052C0D0B">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1.严格遵守国家法律法规、廉政建设规定，坚持廉洁、诚信的原则，恪守公认的商业道德和职业道德规范，不从事并抵制不廉洁、不诚信行为；</w:t>
      </w:r>
    </w:p>
    <w:p w14:paraId="5C373ED9">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2.严禁给予或以借用等名义向采购人工作人员及其配偶、子女、其他特定关系人提供财物和私人车辆；</w:t>
      </w:r>
    </w:p>
    <w:p w14:paraId="75309C88">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3.严禁提供可能影响公正交易的礼品、宴请及娱乐活动安排；</w:t>
      </w:r>
    </w:p>
    <w:p w14:paraId="1F76DD2A">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4.严禁支付应由采购人工作人员负担的费用或报销票据；</w:t>
      </w:r>
    </w:p>
    <w:p w14:paraId="73E48DB2">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5.严禁提供回扣等好处费或有偿中介费用；</w:t>
      </w:r>
    </w:p>
    <w:p w14:paraId="0C857FFF">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6.严禁通过洗钱套现、虚开发票等违法方式提供不正当利益；</w:t>
      </w:r>
    </w:p>
    <w:p w14:paraId="675E69C4">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7.严禁在业务往来过程中隐瞒真实情况，提交虚假资质证明、财务证明等行为；</w:t>
      </w:r>
    </w:p>
    <w:p w14:paraId="7CD30D35">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8.严禁在经营中弄虚作假、以次充好，蓄意夸大产品或服务性能和质量等指标；</w:t>
      </w:r>
    </w:p>
    <w:p w14:paraId="02C4AD6E">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严禁在招标投标活动中进行围标、串标、泄露应当保密的与招标投标活动有关的情况和资料、低于成本价恶意投标等活动，严禁通过相互勾连、串通等不正当手段排挤其他竞争者、干扰公平竞争等违反诚信原则的行为；</w:t>
      </w:r>
    </w:p>
    <w:p w14:paraId="7C35BF75">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10.严禁以任何形式、任何理由泄露采购人秘密。</w:t>
      </w:r>
    </w:p>
    <w:p w14:paraId="3B7E53EA">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若我单位发生违反上述承诺的情形，同意贵单位取消我方资格，并承担相关责任。</w:t>
      </w:r>
    </w:p>
    <w:p w14:paraId="48702B6E">
      <w:pPr>
        <w:pageBreakBefore w:val="0"/>
        <w:widowControl w:val="0"/>
        <w:shd w:val="clear"/>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4"/>
          <w:szCs w:val="24"/>
          <w:highlight w:val="none"/>
        </w:rPr>
      </w:pPr>
    </w:p>
    <w:p w14:paraId="552FA122">
      <w:pPr>
        <w:pageBreakBefore w:val="0"/>
        <w:widowControl w:val="0"/>
        <w:shd w:val="clear"/>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承诺单位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投标供应商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(单位公章)</w:t>
      </w:r>
    </w:p>
    <w:p w14:paraId="6F836E07">
      <w:pPr>
        <w:pageBreakBefore w:val="0"/>
        <w:widowControl w:val="0"/>
        <w:shd w:val="clear"/>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授权代表签字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67A0B34">
      <w:pPr>
        <w:pageBreakBefore w:val="0"/>
        <w:widowControl w:val="0"/>
        <w:shd w:val="clear"/>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日    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346C793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p>
    <w:p w14:paraId="43C6ACF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p>
    <w:p w14:paraId="26C5EB8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中小企业声明函</w:t>
      </w:r>
    </w:p>
    <w:p w14:paraId="12B9090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（以资格条件落实中小企业扶持政策时适用，若有）</w:t>
      </w:r>
    </w:p>
    <w:p w14:paraId="2350F26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中小企业声明函（货物）</w:t>
      </w:r>
    </w:p>
    <w:p w14:paraId="3375A46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1FC1FF6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万元1，属于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B8ABAF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4969DC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47AA4D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9014D7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B0C657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0F64A3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173BB6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14:paraId="3D38563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1、从业人员、营业收入、资产总额填报上一年度数据，无上一年度数据的新成立企业可不填报。</w:t>
      </w:r>
    </w:p>
    <w:p w14:paraId="063FA92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A305A7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86F41F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57CD099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D68B2B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中小企业声明函（工程、服务）</w:t>
      </w:r>
    </w:p>
    <w:p w14:paraId="17B737D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572023E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FFA1A3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万元1，属于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25EAF0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D42A5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EF4116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4DA754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20E8D6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9CA144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AD956E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14:paraId="251734B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1、从业人员、营业收入、资产总额填报上一年度数据，无上一年度数据的新成立企业可不填报。</w:t>
      </w:r>
    </w:p>
    <w:p w14:paraId="55DD0D5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AB6DA9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113061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2BD00F8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7BD2D3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w:t>
      </w:r>
    </w:p>
    <w:p w14:paraId="104BBB1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（以资格条件落实中小企业扶持政策时适用，若有）</w:t>
      </w:r>
    </w:p>
    <w:p w14:paraId="299DA0E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07608B4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AF5272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F1ED20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66A5809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739FF6E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78F6F8F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916F79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2E7196F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10C1E5A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4A6DA25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A488E8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A59859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4E8ACCD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382FAE4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4818692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监狱企业证明材料</w:t>
      </w:r>
    </w:p>
    <w:p w14:paraId="024E4A3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投标人为监狱企业，提供本单位制造的货物（承接的服务），并在投标文件中提供省级以上监狱管理局、戒毒管理局（含新疆生产建设兵团）出具的属于监狱企业的证明文件。</w:t>
      </w:r>
    </w:p>
    <w:p w14:paraId="2191C9F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29DFB5B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6C153A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联合体协议（若有）</w:t>
      </w:r>
    </w:p>
    <w:p w14:paraId="3FF5EED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2D3667C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3358D8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）的投标。现就联合体参加本项目投标的有关事宜达成下列协议：</w:t>
      </w:r>
    </w:p>
    <w:p w14:paraId="487359C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05200BC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w:t>
      </w:r>
    </w:p>
    <w:p w14:paraId="36DC9F7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5827A4F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w:t>
      </w:r>
    </w:p>
    <w:p w14:paraId="7231FD5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2D1781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053FDC5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全称</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830E51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670D0AA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成员1的全称</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44ADA3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54A334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1E01189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0C23359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（填写“牵头方的全称”）代表联合体办理投标保证金事宜。</w:t>
      </w:r>
    </w:p>
    <w:p w14:paraId="231DD16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CDA6B3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四、若中标，牵头方将代表联合体与采购人就合同签订事宜进行协商；若协商一致，则联合体各方将共同与采购人签订采购合同，并就采购合同约定的事项对采购人承担连带责任。</w:t>
      </w:r>
    </w:p>
    <w:p w14:paraId="3BEDAE5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五、本协议自签署之日起生效，采购合同履行完毕后自动失效。</w:t>
      </w:r>
    </w:p>
    <w:p w14:paraId="76F384A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份，联合体各方各执一份，投标文件中提交一份。</w:t>
      </w:r>
    </w:p>
    <w:p w14:paraId="183A8D0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530C3AC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057F058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（签字或盖章）</w:t>
      </w:r>
    </w:p>
    <w:p w14:paraId="6B744E9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1A006A6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（签字或盖章）</w:t>
      </w:r>
    </w:p>
    <w:p w14:paraId="25D36F6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30194F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182E015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（签字或盖章）</w:t>
      </w:r>
    </w:p>
    <w:p w14:paraId="2ACFFB2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14:paraId="732578C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7CD635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1、招标文件接受联合体投标且投标人为联合体的，投标人应提供本协议；否则无须提供。</w:t>
      </w:r>
    </w:p>
    <w:p w14:paraId="11A9FD0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7FED70E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3、在以联合体形式落实中小企业预留份额项目中，投标人除了要提供《中小企业声明函》，还需提供本协议。</w:t>
      </w:r>
    </w:p>
    <w:p w14:paraId="0A21487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4A34C6E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141621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三、投标保证金</w:t>
      </w:r>
    </w:p>
    <w:p w14:paraId="4F9D5F0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56981CE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1、在此项下提交的“投标保证金”材料可使用</w:t>
      </w:r>
      <w:r>
        <w:rPr>
          <w:rFonts w:hint="eastAsia" w:ascii="宋体" w:hAnsi="宋体" w:eastAsia="宋体" w:cs="宋体"/>
          <w:b/>
          <w:color w:val="auto"/>
          <w:sz w:val="24"/>
          <w:szCs w:val="24"/>
          <w:highlight w:val="none"/>
        </w:rPr>
        <w:t>缴交</w:t>
      </w:r>
      <w:r>
        <w:rPr>
          <w:rFonts w:hint="eastAsia" w:ascii="宋体" w:hAnsi="宋体" w:eastAsia="宋体" w:cs="宋体"/>
          <w:color w:val="auto"/>
          <w:sz w:val="24"/>
          <w:szCs w:val="24"/>
          <w:highlight w:val="none"/>
        </w:rPr>
        <w:t>凭证复印件或原始页面的打印件。</w:t>
      </w:r>
    </w:p>
    <w:p w14:paraId="28014FD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2、投标保证金是否已提交的认定按照招标文件第三章规定执行。</w:t>
      </w:r>
    </w:p>
    <w:p w14:paraId="1BD98725">
      <w:pPr>
        <w:keepNext w:val="0"/>
        <w:keepLines w:val="0"/>
        <w:pageBreakBefore w:val="0"/>
        <w:widowControl/>
        <w:kinsoku/>
        <w:overflowPunct/>
        <w:topLinePunct w:val="0"/>
        <w:autoSpaceDE/>
        <w:autoSpaceDN/>
        <w:bidi w:val="0"/>
        <w:spacing w:before="0" w:beforeAutospacing="0" w:after="0" w:afterAutospacing="0" w:line="360" w:lineRule="auto"/>
        <w:ind w:right="480"/>
        <w:jc w:val="center"/>
        <w:textAlignment w:val="auto"/>
        <w:rPr>
          <w:rFonts w:hint="eastAsia" w:ascii="宋体" w:hAnsi="宋体" w:eastAsia="宋体" w:cs="宋体"/>
          <w:b/>
          <w:color w:val="auto"/>
          <w:kern w:val="20"/>
          <w:sz w:val="24"/>
          <w:szCs w:val="24"/>
          <w:highlight w:val="none"/>
          <w:lang w:val="zh-CN"/>
        </w:rPr>
      </w:pPr>
    </w:p>
    <w:p w14:paraId="6DE403F1">
      <w:pPr>
        <w:keepNext w:val="0"/>
        <w:keepLines w:val="0"/>
        <w:pageBreakBefore w:val="0"/>
        <w:widowControl/>
        <w:kinsoku/>
        <w:overflowPunct/>
        <w:topLinePunct w:val="0"/>
        <w:autoSpaceDE/>
        <w:autoSpaceDN/>
        <w:bidi w:val="0"/>
        <w:spacing w:before="0" w:beforeAutospacing="0" w:after="0" w:afterAutospacing="0" w:line="360" w:lineRule="auto"/>
        <w:ind w:right="48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0"/>
          <w:sz w:val="24"/>
          <w:szCs w:val="24"/>
          <w:highlight w:val="none"/>
          <w:lang w:val="zh-CN"/>
        </w:rPr>
        <w:t>退回保证金说明函</w:t>
      </w:r>
    </w:p>
    <w:p w14:paraId="5579BCDB">
      <w:pPr>
        <w:pStyle w:val="12"/>
        <w:keepNext w:val="0"/>
        <w:keepLines w:val="0"/>
        <w:pageBreakBefore w:val="0"/>
        <w:widowControl/>
        <w:tabs>
          <w:tab w:val="left" w:pos="900"/>
        </w:tabs>
        <w:kinsoku/>
        <w:overflowPunct/>
        <w:topLinePunct w:val="0"/>
        <w:autoSpaceDE/>
        <w:autoSpaceDN/>
        <w:bidi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0"/>
          <w:sz w:val="24"/>
          <w:szCs w:val="24"/>
          <w:highlight w:val="none"/>
          <w:lang w:val="zh-CN"/>
        </w:rPr>
        <w:t>致：</w:t>
      </w:r>
      <w:r>
        <w:rPr>
          <w:rFonts w:hint="eastAsia" w:ascii="宋体" w:hAnsi="宋体" w:eastAsia="宋体" w:cs="宋体"/>
          <w:bCs/>
          <w:color w:val="auto"/>
          <w:kern w:val="20"/>
          <w:sz w:val="24"/>
          <w:szCs w:val="24"/>
          <w:highlight w:val="none"/>
          <w:u w:val="single"/>
          <w:lang w:val="zh-CN"/>
        </w:rPr>
        <w:t>福建立勤项目管理有限公司</w:t>
      </w:r>
    </w:p>
    <w:p w14:paraId="3E2C9713">
      <w:pPr>
        <w:keepNext w:val="0"/>
        <w:keepLines w:val="0"/>
        <w:pageBreakBefore w:val="0"/>
        <w:widowControl/>
        <w:kinsoku/>
        <w:overflowPunct/>
        <w:topLinePunct w:val="0"/>
        <w:autoSpaceDE/>
        <w:autoSpaceDN/>
        <w:bidi w:val="0"/>
        <w:spacing w:before="0" w:beforeAutospacing="0" w:after="0" w:afterAutospacing="0" w:line="360" w:lineRule="auto"/>
        <w:ind w:firstLine="477" w:firstLineChars="199"/>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20"/>
          <w:sz w:val="24"/>
          <w:szCs w:val="24"/>
          <w:highlight w:val="none"/>
          <w:lang w:val="zh-CN"/>
        </w:rPr>
        <w:t>我方参与</w:t>
      </w:r>
      <w:r>
        <w:rPr>
          <w:rFonts w:hint="eastAsia" w:ascii="宋体" w:hAnsi="宋体" w:eastAsia="宋体" w:cs="宋体"/>
          <w:bCs/>
          <w:color w:val="auto"/>
          <w:sz w:val="24"/>
          <w:szCs w:val="24"/>
          <w:highlight w:val="none"/>
          <w:u w:val="single"/>
          <w:lang w:eastAsia="zh-CN"/>
        </w:rPr>
        <w:t>福州大学附属省立医院东街、金山院区自助售卖机投放经营权出租项目</w:t>
      </w:r>
      <w:r>
        <w:rPr>
          <w:rFonts w:hint="eastAsia" w:ascii="宋体" w:hAnsi="宋体" w:eastAsia="宋体" w:cs="宋体"/>
          <w:color w:val="auto"/>
          <w:kern w:val="20"/>
          <w:sz w:val="24"/>
          <w:szCs w:val="24"/>
          <w:highlight w:val="none"/>
          <w:lang w:val="zh-CN"/>
        </w:rPr>
        <w:t>（</w:t>
      </w:r>
      <w:r>
        <w:rPr>
          <w:rFonts w:hint="eastAsia" w:ascii="宋体" w:hAnsi="宋体" w:eastAsia="宋体" w:cs="宋体"/>
          <w:bCs/>
          <w:color w:val="auto"/>
          <w:sz w:val="24"/>
          <w:szCs w:val="24"/>
          <w:highlight w:val="none"/>
          <w:lang w:val="en-US"/>
        </w:rPr>
        <w:t>项目</w:t>
      </w:r>
      <w:r>
        <w:rPr>
          <w:rFonts w:hint="eastAsia" w:ascii="宋体" w:hAnsi="宋体" w:eastAsia="宋体" w:cs="宋体"/>
          <w:bCs/>
          <w:color w:val="auto"/>
          <w:kern w:val="20"/>
          <w:sz w:val="24"/>
          <w:szCs w:val="24"/>
          <w:highlight w:val="none"/>
          <w:lang w:val="zh-CN"/>
        </w:rPr>
        <w:t>编号：</w:t>
      </w:r>
      <w:r>
        <w:rPr>
          <w:rFonts w:hint="eastAsia" w:ascii="宋体" w:hAnsi="宋体" w:eastAsia="宋体" w:cs="宋体"/>
          <w:bCs/>
          <w:color w:val="auto"/>
          <w:sz w:val="24"/>
          <w:szCs w:val="24"/>
          <w:highlight w:val="none"/>
          <w:u w:val="single"/>
          <w:lang w:eastAsia="zh-CN"/>
        </w:rPr>
        <w:t>ZC2025-013</w:t>
      </w:r>
      <w:r>
        <w:rPr>
          <w:rFonts w:hint="eastAsia" w:ascii="宋体" w:hAnsi="宋体" w:eastAsia="宋体" w:cs="宋体"/>
          <w:bCs/>
          <w:color w:val="auto"/>
          <w:kern w:val="20"/>
          <w:sz w:val="24"/>
          <w:szCs w:val="24"/>
          <w:highlight w:val="none"/>
          <w:lang w:val="zh-CN"/>
        </w:rPr>
        <w:t>）的投标，</w:t>
      </w:r>
      <w:r>
        <w:rPr>
          <w:rFonts w:hint="eastAsia" w:ascii="宋体" w:hAnsi="宋体" w:eastAsia="宋体" w:cs="宋体"/>
          <w:color w:val="auto"/>
          <w:kern w:val="20"/>
          <w:sz w:val="24"/>
          <w:szCs w:val="24"/>
          <w:highlight w:val="none"/>
          <w:lang w:val="zh-CN"/>
        </w:rPr>
        <w:t>以</w:t>
      </w:r>
      <w:r>
        <w:rPr>
          <w:rFonts w:hint="eastAsia" w:ascii="宋体" w:hAnsi="宋体" w:eastAsia="宋体" w:cs="宋体"/>
          <w:color w:val="auto"/>
          <w:kern w:val="20"/>
          <w:sz w:val="24"/>
          <w:szCs w:val="24"/>
          <w:highlight w:val="none"/>
          <w:u w:val="single"/>
          <w:lang w:val="en-US" w:eastAsia="zh-CN"/>
        </w:rPr>
        <w:t xml:space="preserve">        </w:t>
      </w:r>
      <w:r>
        <w:rPr>
          <w:rFonts w:hint="eastAsia" w:ascii="宋体" w:hAnsi="宋体" w:eastAsia="宋体" w:cs="宋体"/>
          <w:color w:val="auto"/>
          <w:kern w:val="20"/>
          <w:sz w:val="24"/>
          <w:szCs w:val="24"/>
          <w:highlight w:val="none"/>
          <w:lang w:val="zh-CN"/>
        </w:rPr>
        <w:t>形式于</w:t>
      </w:r>
      <w:r>
        <w:rPr>
          <w:rFonts w:hint="eastAsia" w:ascii="宋体" w:hAnsi="宋体" w:eastAsia="宋体" w:cs="宋体"/>
          <w:color w:val="auto"/>
          <w:kern w:val="20"/>
          <w:sz w:val="24"/>
          <w:szCs w:val="24"/>
          <w:highlight w:val="none"/>
          <w:u w:val="single"/>
          <w:lang w:val="en-US" w:eastAsia="zh-CN"/>
        </w:rPr>
        <w:t xml:space="preserve">    </w:t>
      </w:r>
      <w:r>
        <w:rPr>
          <w:rFonts w:hint="eastAsia" w:ascii="宋体" w:hAnsi="宋体" w:eastAsia="宋体" w:cs="宋体"/>
          <w:color w:val="auto"/>
          <w:kern w:val="20"/>
          <w:sz w:val="24"/>
          <w:szCs w:val="24"/>
          <w:highlight w:val="none"/>
          <w:lang w:val="zh-CN"/>
        </w:rPr>
        <w:t>年</w:t>
      </w:r>
      <w:r>
        <w:rPr>
          <w:rFonts w:hint="eastAsia" w:ascii="宋体" w:hAnsi="宋体" w:eastAsia="宋体" w:cs="宋体"/>
          <w:color w:val="auto"/>
          <w:kern w:val="20"/>
          <w:sz w:val="24"/>
          <w:szCs w:val="24"/>
          <w:highlight w:val="none"/>
          <w:u w:val="single"/>
          <w:lang w:val="en-US" w:eastAsia="zh-CN"/>
        </w:rPr>
        <w:t xml:space="preserve">    </w:t>
      </w:r>
      <w:r>
        <w:rPr>
          <w:rFonts w:hint="eastAsia" w:ascii="宋体" w:hAnsi="宋体" w:eastAsia="宋体" w:cs="宋体"/>
          <w:color w:val="auto"/>
          <w:kern w:val="20"/>
          <w:sz w:val="24"/>
          <w:szCs w:val="24"/>
          <w:highlight w:val="none"/>
          <w:lang w:val="zh-CN"/>
        </w:rPr>
        <w:t>月</w:t>
      </w:r>
      <w:r>
        <w:rPr>
          <w:rFonts w:hint="eastAsia" w:ascii="宋体" w:hAnsi="宋体" w:eastAsia="宋体" w:cs="宋体"/>
          <w:color w:val="auto"/>
          <w:kern w:val="20"/>
          <w:sz w:val="24"/>
          <w:szCs w:val="24"/>
          <w:highlight w:val="none"/>
          <w:u w:val="single"/>
          <w:lang w:val="en-US" w:eastAsia="zh-CN"/>
        </w:rPr>
        <w:t xml:space="preserve">    </w:t>
      </w:r>
      <w:r>
        <w:rPr>
          <w:rFonts w:hint="eastAsia" w:ascii="宋体" w:hAnsi="宋体" w:eastAsia="宋体" w:cs="宋体"/>
          <w:color w:val="auto"/>
          <w:kern w:val="20"/>
          <w:sz w:val="24"/>
          <w:szCs w:val="24"/>
          <w:highlight w:val="none"/>
          <w:lang w:val="zh-CN"/>
        </w:rPr>
        <w:t>日</w:t>
      </w:r>
      <w:r>
        <w:rPr>
          <w:rFonts w:hint="eastAsia" w:ascii="宋体" w:hAnsi="宋体" w:eastAsia="宋体" w:cs="宋体"/>
          <w:bCs/>
          <w:color w:val="auto"/>
          <w:kern w:val="20"/>
          <w:sz w:val="24"/>
          <w:szCs w:val="24"/>
          <w:highlight w:val="none"/>
          <w:lang w:val="zh-CN"/>
        </w:rPr>
        <w:t>提供人民币</w:t>
      </w:r>
      <w:r>
        <w:rPr>
          <w:rFonts w:hint="eastAsia" w:ascii="宋体" w:hAnsi="宋体" w:eastAsia="宋体" w:cs="宋体"/>
          <w:color w:val="auto"/>
          <w:kern w:val="20"/>
          <w:sz w:val="24"/>
          <w:szCs w:val="24"/>
          <w:highlight w:val="none"/>
          <w:u w:val="single"/>
          <w:lang w:val="en-US" w:eastAsia="zh-CN"/>
        </w:rPr>
        <w:t xml:space="preserve">    </w:t>
      </w:r>
      <w:r>
        <w:rPr>
          <w:rFonts w:hint="eastAsia" w:ascii="宋体" w:hAnsi="宋体" w:eastAsia="宋体" w:cs="宋体"/>
          <w:bCs/>
          <w:color w:val="auto"/>
          <w:kern w:val="20"/>
          <w:sz w:val="24"/>
          <w:szCs w:val="24"/>
          <w:highlight w:val="none"/>
          <w:lang w:val="zh-CN"/>
        </w:rPr>
        <w:t>元保证金（参与</w:t>
      </w:r>
      <w:r>
        <w:rPr>
          <w:rFonts w:hint="eastAsia" w:ascii="宋体" w:hAnsi="宋体" w:eastAsia="宋体" w:cs="宋体"/>
          <w:bCs/>
          <w:color w:val="auto"/>
          <w:sz w:val="24"/>
          <w:szCs w:val="24"/>
          <w:highlight w:val="none"/>
          <w:lang w:val="en-US"/>
        </w:rPr>
        <w:t>采购</w:t>
      </w:r>
      <w:r>
        <w:rPr>
          <w:rFonts w:hint="eastAsia" w:ascii="宋体" w:hAnsi="宋体" w:eastAsia="宋体" w:cs="宋体"/>
          <w:bCs/>
          <w:color w:val="auto"/>
          <w:kern w:val="20"/>
          <w:sz w:val="24"/>
          <w:szCs w:val="24"/>
          <w:highlight w:val="none"/>
          <w:lang w:val="zh-CN"/>
        </w:rPr>
        <w:t>包</w:t>
      </w:r>
      <w:r>
        <w:rPr>
          <w:rFonts w:hint="eastAsia" w:ascii="宋体" w:hAnsi="宋体" w:eastAsia="宋体" w:cs="宋体"/>
          <w:bCs/>
          <w:color w:val="auto"/>
          <w:kern w:val="20"/>
          <w:sz w:val="24"/>
          <w:szCs w:val="24"/>
          <w:highlight w:val="none"/>
          <w:u w:val="single"/>
          <w:lang w:val="en-US" w:eastAsia="zh-CN"/>
        </w:rPr>
        <w:t xml:space="preserve">    </w:t>
      </w:r>
      <w:r>
        <w:rPr>
          <w:rFonts w:hint="eastAsia" w:ascii="宋体" w:hAnsi="宋体" w:eastAsia="宋体" w:cs="宋体"/>
          <w:bCs/>
          <w:color w:val="auto"/>
          <w:kern w:val="20"/>
          <w:sz w:val="24"/>
          <w:szCs w:val="24"/>
          <w:highlight w:val="none"/>
          <w:lang w:val="zh-CN"/>
        </w:rPr>
        <w:t>投标），当可以退回时，请退回到我公司以下账户：</w:t>
      </w:r>
    </w:p>
    <w:p w14:paraId="3B822EC2">
      <w:pPr>
        <w:keepNext w:val="0"/>
        <w:keepLines w:val="0"/>
        <w:pageBreakBefore w:val="0"/>
        <w:widowControl/>
        <w:kinsoku/>
        <w:overflowPunct/>
        <w:topLinePunct w:val="0"/>
        <w:autoSpaceDE/>
        <w:autoSpaceDN/>
        <w:bidi w:val="0"/>
        <w:spacing w:before="0" w:beforeAutospacing="0" w:after="0" w:afterAutospacing="0" w:line="360" w:lineRule="auto"/>
        <w:ind w:firstLine="477" w:firstLineChars="199"/>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kern w:val="20"/>
          <w:sz w:val="24"/>
          <w:szCs w:val="24"/>
          <w:highlight w:val="none"/>
          <w:lang w:val="zh-CN"/>
        </w:rPr>
        <w:t>1.</w:t>
      </w:r>
      <w:r>
        <w:rPr>
          <w:rFonts w:hint="eastAsia" w:ascii="宋体" w:hAnsi="宋体" w:eastAsia="宋体" w:cs="宋体"/>
          <w:color w:val="auto"/>
          <w:kern w:val="20"/>
          <w:sz w:val="24"/>
          <w:szCs w:val="24"/>
          <w:highlight w:val="none"/>
          <w:lang w:val="zh-CN"/>
        </w:rPr>
        <w:t>开户名：</w:t>
      </w:r>
      <w:r>
        <w:rPr>
          <w:rFonts w:hint="eastAsia" w:ascii="宋体" w:hAnsi="宋体" w:eastAsia="宋体" w:cs="宋体"/>
          <w:color w:val="auto"/>
          <w:kern w:val="20"/>
          <w:sz w:val="24"/>
          <w:szCs w:val="24"/>
          <w:highlight w:val="none"/>
          <w:u w:val="single"/>
          <w:lang w:val="en-US" w:eastAsia="zh-CN"/>
        </w:rPr>
        <w:t xml:space="preserve">                           </w:t>
      </w:r>
    </w:p>
    <w:p w14:paraId="5053AE1C">
      <w:pPr>
        <w:keepNext w:val="0"/>
        <w:keepLines w:val="0"/>
        <w:pageBreakBefore w:val="0"/>
        <w:widowControl/>
        <w:kinsoku/>
        <w:overflowPunct/>
        <w:topLinePunct w:val="0"/>
        <w:autoSpaceDE/>
        <w:autoSpaceDN/>
        <w:bidi w:val="0"/>
        <w:spacing w:before="0" w:beforeAutospacing="0" w:after="0" w:afterAutospacing="0" w:line="360" w:lineRule="auto"/>
        <w:ind w:firstLine="477" w:firstLineChars="199"/>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0"/>
          <w:sz w:val="24"/>
          <w:szCs w:val="24"/>
          <w:highlight w:val="none"/>
          <w:lang w:val="zh-CN"/>
        </w:rPr>
        <w:t>2.开户行：</w:t>
      </w:r>
      <w:r>
        <w:rPr>
          <w:rFonts w:hint="eastAsia" w:ascii="宋体" w:hAnsi="宋体" w:eastAsia="宋体" w:cs="宋体"/>
          <w:color w:val="auto"/>
          <w:kern w:val="20"/>
          <w:sz w:val="24"/>
          <w:szCs w:val="24"/>
          <w:highlight w:val="none"/>
          <w:u w:val="single"/>
          <w:lang w:val="en-US" w:eastAsia="zh-CN"/>
        </w:rPr>
        <w:t xml:space="preserve">                           </w:t>
      </w:r>
    </w:p>
    <w:p w14:paraId="324BC721">
      <w:pPr>
        <w:keepNext w:val="0"/>
        <w:keepLines w:val="0"/>
        <w:pageBreakBefore w:val="0"/>
        <w:widowControl/>
        <w:kinsoku/>
        <w:overflowPunct/>
        <w:topLinePunct w:val="0"/>
        <w:autoSpaceDE/>
        <w:autoSpaceDN/>
        <w:bidi w:val="0"/>
        <w:spacing w:before="0" w:beforeAutospacing="0" w:after="0" w:afterAutospacing="0" w:line="360" w:lineRule="auto"/>
        <w:ind w:firstLine="477" w:firstLineChars="199"/>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20"/>
          <w:sz w:val="24"/>
          <w:szCs w:val="24"/>
          <w:highlight w:val="none"/>
          <w:lang w:val="zh-CN"/>
        </w:rPr>
        <w:t>3.账  号：</w:t>
      </w:r>
      <w:r>
        <w:rPr>
          <w:rFonts w:hint="eastAsia" w:ascii="宋体" w:hAnsi="宋体" w:eastAsia="宋体" w:cs="宋体"/>
          <w:color w:val="auto"/>
          <w:kern w:val="20"/>
          <w:sz w:val="24"/>
          <w:szCs w:val="24"/>
          <w:highlight w:val="none"/>
          <w:u w:val="single"/>
          <w:lang w:val="en-US" w:eastAsia="zh-CN"/>
        </w:rPr>
        <w:t xml:space="preserve">                           </w:t>
      </w:r>
    </w:p>
    <w:p w14:paraId="6AFBC078">
      <w:pPr>
        <w:keepNext w:val="0"/>
        <w:keepLines w:val="0"/>
        <w:pageBreakBefore w:val="0"/>
        <w:widowControl/>
        <w:kinsoku/>
        <w:overflowPunct/>
        <w:topLinePunct w:val="0"/>
        <w:autoSpaceDE/>
        <w:autoSpaceDN/>
        <w:bidi w:val="0"/>
        <w:spacing w:before="0" w:beforeAutospacing="0" w:after="0" w:afterAutospacing="0" w:line="360" w:lineRule="auto"/>
        <w:ind w:firstLine="479" w:firstLineChars="199"/>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0"/>
          <w:sz w:val="24"/>
          <w:szCs w:val="24"/>
          <w:highlight w:val="none"/>
          <w:lang w:val="zh-CN"/>
        </w:rPr>
        <w:t>（若提交保证金的账户发生变更，还须提供变更证明。）</w:t>
      </w:r>
    </w:p>
    <w:p w14:paraId="53A666EC">
      <w:pPr>
        <w:keepNext w:val="0"/>
        <w:keepLines w:val="0"/>
        <w:pageBreakBefore w:val="0"/>
        <w:widowControl/>
        <w:kinsoku/>
        <w:overflowPunct/>
        <w:topLinePunct w:val="0"/>
        <w:autoSpaceDE/>
        <w:autoSpaceDN/>
        <w:bidi w:val="0"/>
        <w:spacing w:before="0" w:beforeAutospacing="0" w:after="0" w:afterAutospacing="0" w:line="360" w:lineRule="auto"/>
        <w:ind w:firstLine="479" w:firstLineChars="199"/>
        <w:textAlignment w:val="auto"/>
        <w:rPr>
          <w:rFonts w:hint="eastAsia" w:ascii="宋体" w:hAnsi="宋体" w:eastAsia="宋体" w:cs="宋体"/>
          <w:b/>
          <w:bCs/>
          <w:color w:val="auto"/>
          <w:sz w:val="24"/>
          <w:szCs w:val="24"/>
          <w:highlight w:val="none"/>
        </w:rPr>
      </w:pPr>
    </w:p>
    <w:p w14:paraId="66633C1B">
      <w:pPr>
        <w:keepNext w:val="0"/>
        <w:keepLines w:val="0"/>
        <w:pageBreakBefore w:val="0"/>
        <w:widowControl/>
        <w:kinsoku/>
        <w:overflowPunct/>
        <w:topLinePunct w:val="0"/>
        <w:autoSpaceDE/>
        <w:autoSpaceDN/>
        <w:bidi w:val="0"/>
        <w:spacing w:before="0" w:beforeAutospacing="0" w:after="0" w:afterAutospacing="0" w:line="360" w:lineRule="auto"/>
        <w:ind w:firstLine="4080" w:firstLineChars="17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0"/>
          <w:sz w:val="24"/>
          <w:szCs w:val="24"/>
          <w:highlight w:val="none"/>
          <w:lang w:val="zh-CN"/>
        </w:rPr>
        <w:t>投标人名称（加盖公章）：</w:t>
      </w:r>
      <w:r>
        <w:rPr>
          <w:rFonts w:hint="eastAsia" w:ascii="宋体" w:hAnsi="宋体" w:eastAsia="宋体" w:cs="宋体"/>
          <w:color w:val="auto"/>
          <w:kern w:val="20"/>
          <w:sz w:val="24"/>
          <w:szCs w:val="24"/>
          <w:highlight w:val="none"/>
          <w:u w:val="single"/>
          <w:lang w:val="en-US" w:eastAsia="zh-CN"/>
        </w:rPr>
        <w:t xml:space="preserve">                    </w:t>
      </w:r>
    </w:p>
    <w:p w14:paraId="58999770">
      <w:pPr>
        <w:keepNext w:val="0"/>
        <w:keepLines w:val="0"/>
        <w:pageBreakBefore w:val="0"/>
        <w:widowControl/>
        <w:kinsoku/>
        <w:overflowPunct/>
        <w:topLinePunct w:val="0"/>
        <w:autoSpaceDE/>
        <w:autoSpaceDN/>
        <w:bidi w:val="0"/>
        <w:spacing w:before="0" w:beforeAutospacing="0" w:after="0" w:afterAutospacing="0" w:line="360" w:lineRule="auto"/>
        <w:ind w:firstLine="4080" w:firstLineChars="17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0"/>
          <w:sz w:val="24"/>
          <w:szCs w:val="24"/>
          <w:highlight w:val="none"/>
          <w:lang w:val="zh-CN"/>
        </w:rPr>
        <w:t>投标人代表（签字）：</w:t>
      </w:r>
      <w:r>
        <w:rPr>
          <w:rFonts w:hint="eastAsia" w:ascii="宋体" w:hAnsi="宋体" w:eastAsia="宋体" w:cs="宋体"/>
          <w:color w:val="auto"/>
          <w:kern w:val="20"/>
          <w:sz w:val="24"/>
          <w:szCs w:val="24"/>
          <w:highlight w:val="none"/>
          <w:u w:val="none"/>
          <w:lang w:val="zh-CN"/>
        </w:rPr>
        <w:t>_______________</w:t>
      </w:r>
    </w:p>
    <w:p w14:paraId="57538748">
      <w:pPr>
        <w:keepNext w:val="0"/>
        <w:keepLines w:val="0"/>
        <w:pageBreakBefore w:val="0"/>
        <w:widowControl/>
        <w:kinsoku/>
        <w:overflowPunct/>
        <w:topLinePunct w:val="0"/>
        <w:autoSpaceDE/>
        <w:autoSpaceDN/>
        <w:bidi w:val="0"/>
        <w:spacing w:before="0" w:beforeAutospacing="0" w:after="0" w:afterAutospacing="0" w:line="360" w:lineRule="auto"/>
        <w:ind w:firstLine="4080" w:firstLineChars="17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0"/>
          <w:sz w:val="24"/>
          <w:szCs w:val="24"/>
          <w:highlight w:val="none"/>
          <w:lang w:val="zh-CN"/>
        </w:rPr>
        <w:t>电话/手机：</w:t>
      </w:r>
      <w:r>
        <w:rPr>
          <w:rFonts w:hint="eastAsia" w:ascii="宋体" w:hAnsi="宋体" w:eastAsia="宋体" w:cs="宋体"/>
          <w:color w:val="auto"/>
          <w:kern w:val="20"/>
          <w:sz w:val="24"/>
          <w:szCs w:val="24"/>
          <w:highlight w:val="none"/>
          <w:u w:val="none"/>
          <w:lang w:val="zh-CN"/>
        </w:rPr>
        <w:t>___________________</w:t>
      </w:r>
    </w:p>
    <w:p w14:paraId="2BFC4F99">
      <w:pPr>
        <w:keepNext w:val="0"/>
        <w:keepLines w:val="0"/>
        <w:pageBreakBefore w:val="0"/>
        <w:widowControl/>
        <w:kinsoku/>
        <w:overflowPunct/>
        <w:topLinePunct w:val="0"/>
        <w:autoSpaceDE/>
        <w:autoSpaceDN/>
        <w:bidi w:val="0"/>
        <w:spacing w:before="0" w:beforeAutospacing="0" w:after="0" w:afterAutospacing="0" w:line="360" w:lineRule="auto"/>
        <w:ind w:firstLine="4080" w:firstLineChars="17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0"/>
          <w:sz w:val="24"/>
          <w:szCs w:val="24"/>
          <w:highlight w:val="none"/>
          <w:lang w:val="zh-CN"/>
        </w:rPr>
        <w:t>日期：</w:t>
      </w:r>
      <w:r>
        <w:rPr>
          <w:rFonts w:hint="eastAsia" w:ascii="宋体" w:hAnsi="宋体" w:eastAsia="宋体" w:cs="宋体"/>
          <w:color w:val="auto"/>
          <w:kern w:val="20"/>
          <w:sz w:val="24"/>
          <w:szCs w:val="24"/>
          <w:highlight w:val="none"/>
          <w:u w:val="single"/>
          <w:lang w:val="en-US" w:eastAsia="zh-CN"/>
        </w:rPr>
        <w:t xml:space="preserve">   </w:t>
      </w:r>
      <w:r>
        <w:rPr>
          <w:rFonts w:hint="eastAsia" w:ascii="宋体" w:hAnsi="宋体" w:eastAsia="宋体" w:cs="宋体"/>
          <w:color w:val="auto"/>
          <w:kern w:val="20"/>
          <w:sz w:val="24"/>
          <w:szCs w:val="24"/>
          <w:highlight w:val="none"/>
          <w:lang w:val="zh-CN"/>
        </w:rPr>
        <w:t>年</w:t>
      </w:r>
      <w:r>
        <w:rPr>
          <w:rFonts w:hint="eastAsia" w:ascii="宋体" w:hAnsi="宋体" w:eastAsia="宋体" w:cs="宋体"/>
          <w:color w:val="auto"/>
          <w:kern w:val="20"/>
          <w:sz w:val="24"/>
          <w:szCs w:val="24"/>
          <w:highlight w:val="none"/>
          <w:u w:val="single"/>
          <w:lang w:val="en-US" w:eastAsia="zh-CN"/>
        </w:rPr>
        <w:t xml:space="preserve">    </w:t>
      </w:r>
      <w:r>
        <w:rPr>
          <w:rFonts w:hint="eastAsia" w:ascii="宋体" w:hAnsi="宋体" w:eastAsia="宋体" w:cs="宋体"/>
          <w:color w:val="auto"/>
          <w:kern w:val="20"/>
          <w:sz w:val="24"/>
          <w:szCs w:val="24"/>
          <w:highlight w:val="none"/>
          <w:lang w:val="zh-CN"/>
        </w:rPr>
        <w:t>月</w:t>
      </w:r>
      <w:r>
        <w:rPr>
          <w:rFonts w:hint="eastAsia" w:ascii="宋体" w:hAnsi="宋体" w:eastAsia="宋体" w:cs="宋体"/>
          <w:color w:val="auto"/>
          <w:kern w:val="20"/>
          <w:sz w:val="24"/>
          <w:szCs w:val="24"/>
          <w:highlight w:val="none"/>
          <w:u w:val="single"/>
          <w:lang w:val="en-US" w:eastAsia="zh-CN"/>
        </w:rPr>
        <w:t xml:space="preserve">    </w:t>
      </w:r>
      <w:r>
        <w:rPr>
          <w:rFonts w:hint="eastAsia" w:ascii="宋体" w:hAnsi="宋体" w:eastAsia="宋体" w:cs="宋体"/>
          <w:color w:val="auto"/>
          <w:kern w:val="20"/>
          <w:sz w:val="24"/>
          <w:szCs w:val="24"/>
          <w:highlight w:val="none"/>
          <w:lang w:val="zh-CN"/>
        </w:rPr>
        <w:t>日</w:t>
      </w:r>
    </w:p>
    <w:p w14:paraId="57007107">
      <w:pPr>
        <w:keepNext w:val="0"/>
        <w:keepLines w:val="0"/>
        <w:pageBreakBefore w:val="0"/>
        <w:widowControl/>
        <w:tabs>
          <w:tab w:val="left" w:pos="795"/>
        </w:tabs>
        <w:kinsoku/>
        <w:overflowPunct/>
        <w:topLinePunct w:val="0"/>
        <w:autoSpaceDE/>
        <w:autoSpaceDN/>
        <w:bidi w:val="0"/>
        <w:spacing w:before="0" w:beforeAutospacing="0" w:after="0" w:afterAutospacing="0" w:line="360" w:lineRule="auto"/>
        <w:textAlignment w:val="auto"/>
        <w:rPr>
          <w:rFonts w:hint="eastAsia" w:ascii="宋体" w:hAnsi="宋体" w:eastAsia="宋体" w:cs="宋体"/>
          <w:b/>
          <w:bCs/>
          <w:color w:val="auto"/>
          <w:sz w:val="24"/>
          <w:szCs w:val="24"/>
          <w:highlight w:val="none"/>
        </w:rPr>
      </w:pPr>
    </w:p>
    <w:p w14:paraId="636FEFB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rPr>
        <w:t>附：</w:t>
      </w:r>
      <w:r>
        <w:rPr>
          <w:rFonts w:hint="eastAsia" w:ascii="宋体" w:hAnsi="宋体" w:eastAsia="宋体" w:cs="宋体"/>
          <w:b/>
          <w:color w:val="auto"/>
          <w:kern w:val="0"/>
          <w:sz w:val="24"/>
          <w:szCs w:val="24"/>
          <w:highlight w:val="none"/>
          <w:lang w:val="en-US"/>
        </w:rPr>
        <w:t>投标保证金缴交凭证</w:t>
      </w:r>
    </w:p>
    <w:p w14:paraId="3E4C19A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24BA6D2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35C8B29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8571E7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封面格式(报价部分)</w:t>
      </w:r>
    </w:p>
    <w:p w14:paraId="1AE6A1B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highlight w:val="none"/>
        </w:rPr>
      </w:pPr>
    </w:p>
    <w:p w14:paraId="1C9E78D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highlight w:val="none"/>
        </w:rPr>
      </w:pPr>
    </w:p>
    <w:p w14:paraId="7DC9A61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福州大学附属省立医院院内采购项目</w:t>
      </w:r>
    </w:p>
    <w:p w14:paraId="00F35ED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投</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件</w:t>
      </w:r>
    </w:p>
    <w:p w14:paraId="2B7794C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2"/>
          <w:rFonts w:hint="eastAsia" w:ascii="宋体" w:hAnsi="宋体" w:eastAsia="宋体" w:cs="宋体"/>
          <w:color w:val="auto"/>
          <w:sz w:val="36"/>
          <w:szCs w:val="36"/>
          <w:highlight w:val="none"/>
          <w:lang w:eastAsia="zh-CN"/>
        </w:rPr>
      </w:pPr>
      <w:bookmarkStart w:id="94" w:name="_Toc28866"/>
      <w:bookmarkStart w:id="95" w:name="_Toc3650"/>
      <w:bookmarkStart w:id="96" w:name="_Toc10715"/>
      <w:bookmarkStart w:id="97" w:name="_Toc12453"/>
      <w:bookmarkStart w:id="98" w:name="_Toc143178234"/>
      <w:bookmarkStart w:id="99" w:name="_Toc27043"/>
      <w:bookmarkStart w:id="100" w:name="_Toc12206"/>
      <w:bookmarkStart w:id="101" w:name="_Toc26414"/>
      <w:bookmarkStart w:id="102" w:name="_Toc32758"/>
      <w:bookmarkStart w:id="103" w:name="_Toc18908"/>
      <w:r>
        <w:rPr>
          <w:rStyle w:val="32"/>
          <w:rFonts w:hint="eastAsia" w:ascii="宋体" w:hAnsi="宋体" w:eastAsia="宋体" w:cs="宋体"/>
          <w:color w:val="auto"/>
          <w:sz w:val="36"/>
          <w:szCs w:val="36"/>
          <w:highlight w:val="none"/>
        </w:rPr>
        <w:t>报价部分</w:t>
      </w:r>
      <w:bookmarkEnd w:id="94"/>
      <w:bookmarkEnd w:id="95"/>
      <w:bookmarkEnd w:id="96"/>
      <w:bookmarkEnd w:id="97"/>
      <w:bookmarkEnd w:id="98"/>
      <w:bookmarkEnd w:id="99"/>
      <w:bookmarkEnd w:id="100"/>
      <w:bookmarkEnd w:id="101"/>
      <w:bookmarkEnd w:id="102"/>
    </w:p>
    <w:p w14:paraId="7AD1D0B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2"/>
          <w:rFonts w:hint="eastAsia" w:ascii="宋体" w:hAnsi="宋体" w:eastAsia="宋体" w:cs="宋体"/>
          <w:color w:val="auto"/>
          <w:sz w:val="36"/>
          <w:szCs w:val="36"/>
          <w:highlight w:val="none"/>
          <w:lang w:eastAsia="zh-CN"/>
        </w:rPr>
      </w:pPr>
    </w:p>
    <w:p w14:paraId="14E802B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b/>
          <w:color w:val="auto"/>
          <w:sz w:val="36"/>
          <w:szCs w:val="36"/>
          <w:highlight w:val="none"/>
          <w:lang w:eastAsia="zh-CN"/>
        </w:rPr>
      </w:pPr>
      <w:bookmarkStart w:id="104" w:name="_Toc5335"/>
      <w:bookmarkStart w:id="105" w:name="_Toc7275"/>
      <w:r>
        <w:rPr>
          <w:rFonts w:hint="eastAsia" w:ascii="宋体" w:hAnsi="宋体" w:eastAsia="宋体" w:cs="宋体"/>
          <w:b/>
          <w:color w:val="auto"/>
          <w:sz w:val="36"/>
          <w:szCs w:val="36"/>
          <w:highlight w:val="none"/>
        </w:rPr>
        <w:t>（填写正本或副本）</w:t>
      </w:r>
      <w:bookmarkEnd w:id="103"/>
      <w:bookmarkEnd w:id="104"/>
      <w:bookmarkEnd w:id="105"/>
    </w:p>
    <w:p w14:paraId="6C6BF9D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b/>
          <w:color w:val="auto"/>
          <w:sz w:val="36"/>
          <w:szCs w:val="36"/>
          <w:highlight w:val="none"/>
          <w:lang w:eastAsia="zh-CN"/>
        </w:rPr>
      </w:pPr>
    </w:p>
    <w:p w14:paraId="7AA0517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color w:val="auto"/>
          <w:sz w:val="36"/>
          <w:szCs w:val="36"/>
          <w:highlight w:val="none"/>
          <w:lang w:eastAsia="zh-CN"/>
        </w:rPr>
      </w:pPr>
    </w:p>
    <w:p w14:paraId="330F013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color w:val="auto"/>
          <w:sz w:val="36"/>
          <w:szCs w:val="36"/>
          <w:highlight w:val="none"/>
          <w:lang w:eastAsia="zh-CN"/>
        </w:rPr>
      </w:pPr>
    </w:p>
    <w:p w14:paraId="1EFE7AA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color w:val="auto"/>
          <w:sz w:val="36"/>
          <w:szCs w:val="36"/>
          <w:highlight w:val="none"/>
          <w:lang w:eastAsia="zh-CN"/>
        </w:rPr>
      </w:pPr>
    </w:p>
    <w:p w14:paraId="7F934C2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项目名称：（由投标人填写）</w:t>
      </w:r>
    </w:p>
    <w:p w14:paraId="2768F81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项目编号：（由投标人填写）</w:t>
      </w:r>
    </w:p>
    <w:p w14:paraId="1042948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所投采购包：（由投标人填写）</w:t>
      </w:r>
    </w:p>
    <w:p w14:paraId="1481B32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highlight w:val="none"/>
          <w:lang w:eastAsia="zh-CN"/>
        </w:rPr>
      </w:pPr>
    </w:p>
    <w:p w14:paraId="7EA912F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color w:val="auto"/>
          <w:sz w:val="36"/>
          <w:szCs w:val="36"/>
          <w:highlight w:val="none"/>
          <w:lang w:eastAsia="zh-CN"/>
        </w:rPr>
      </w:pPr>
    </w:p>
    <w:p w14:paraId="4BBAA31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投标人：（填写“全称”）</w:t>
      </w:r>
    </w:p>
    <w:p w14:paraId="4A323CF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（由投标人填写）年（由投标人填写）月</w:t>
      </w:r>
    </w:p>
    <w:p w14:paraId="66B52D2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28A6C58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4E910E63">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E4109E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索引</w:t>
      </w:r>
    </w:p>
    <w:p w14:paraId="1D35502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p w14:paraId="682EA50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二、投标分项报价表</w:t>
      </w:r>
    </w:p>
    <w:p w14:paraId="16880B8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三、招标文件规定的价格扣除证明材料（若有）</w:t>
      </w:r>
    </w:p>
    <w:p w14:paraId="32F0FBD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65AA2C6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65B5C048">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971999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一、开标一览表</w:t>
      </w:r>
    </w:p>
    <w:p w14:paraId="16BDD4A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45F3FF2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p w14:paraId="4B62295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货币及单位：人民币元</w:t>
      </w:r>
    </w:p>
    <w:tbl>
      <w:tblPr>
        <w:tblStyle w:val="22"/>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01"/>
        <w:gridCol w:w="1912"/>
        <w:gridCol w:w="837"/>
        <w:gridCol w:w="1095"/>
        <w:gridCol w:w="1500"/>
        <w:gridCol w:w="1943"/>
      </w:tblGrid>
      <w:tr w14:paraId="53C0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30" w:type="dxa"/>
            <w:vAlign w:val="center"/>
          </w:tcPr>
          <w:p w14:paraId="6871C76D">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701" w:type="dxa"/>
            <w:vAlign w:val="center"/>
          </w:tcPr>
          <w:p w14:paraId="025B3DA3">
            <w:pPr>
              <w:pStyle w:val="39"/>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912" w:type="dxa"/>
            <w:vAlign w:val="center"/>
          </w:tcPr>
          <w:p w14:paraId="05F2659C">
            <w:pPr>
              <w:pStyle w:val="1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837" w:type="dxa"/>
            <w:vAlign w:val="center"/>
          </w:tcPr>
          <w:p w14:paraId="79EB2741">
            <w:pPr>
              <w:pStyle w:val="1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数量（</w:t>
            </w:r>
            <w:r>
              <w:rPr>
                <w:rFonts w:hint="eastAsia" w:ascii="宋体" w:hAnsi="宋体" w:eastAsia="宋体" w:cs="宋体"/>
                <w:color w:val="auto"/>
                <w:kern w:val="0"/>
                <w:sz w:val="24"/>
                <w:szCs w:val="24"/>
                <w:highlight w:val="none"/>
                <w:lang w:val="en-US" w:eastAsia="zh-CN"/>
              </w:rPr>
              <w:t>台</w:t>
            </w:r>
            <w:r>
              <w:rPr>
                <w:rFonts w:hint="eastAsia" w:ascii="宋体" w:hAnsi="宋体" w:eastAsia="宋体" w:cs="宋体"/>
                <w:color w:val="auto"/>
                <w:kern w:val="0"/>
                <w:sz w:val="24"/>
                <w:szCs w:val="24"/>
                <w:highlight w:val="none"/>
                <w:lang w:eastAsia="zh-CN"/>
              </w:rPr>
              <w:t>）</w:t>
            </w:r>
          </w:p>
        </w:tc>
        <w:tc>
          <w:tcPr>
            <w:tcW w:w="1095" w:type="dxa"/>
            <w:vAlign w:val="center"/>
          </w:tcPr>
          <w:p w14:paraId="2E2A45B3">
            <w:pPr>
              <w:pStyle w:val="1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承包服务年限</w:t>
            </w:r>
          </w:p>
        </w:tc>
        <w:tc>
          <w:tcPr>
            <w:tcW w:w="1500" w:type="dxa"/>
            <w:vAlign w:val="center"/>
          </w:tcPr>
          <w:p w14:paraId="60FAE062">
            <w:pPr>
              <w:pStyle w:val="1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月承包单价 (元/月·台)</w:t>
            </w:r>
          </w:p>
        </w:tc>
        <w:tc>
          <w:tcPr>
            <w:tcW w:w="1943" w:type="dxa"/>
            <w:vAlign w:val="center"/>
          </w:tcPr>
          <w:p w14:paraId="513D0C94">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总投标报价（元）</w:t>
            </w:r>
          </w:p>
        </w:tc>
      </w:tr>
      <w:tr w14:paraId="54BB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30" w:type="dxa"/>
            <w:vMerge w:val="restart"/>
            <w:vAlign w:val="center"/>
          </w:tcPr>
          <w:p w14:paraId="22F451B7">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1" w:type="dxa"/>
            <w:vAlign w:val="center"/>
          </w:tcPr>
          <w:p w14:paraId="0B08419C">
            <w:pPr>
              <w:pStyle w:val="39"/>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2" w:type="dxa"/>
            <w:vAlign w:val="center"/>
          </w:tcPr>
          <w:p w14:paraId="60AF32C7">
            <w:pPr>
              <w:pStyle w:val="39"/>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p>
        </w:tc>
        <w:tc>
          <w:tcPr>
            <w:tcW w:w="837" w:type="dxa"/>
            <w:vAlign w:val="center"/>
          </w:tcPr>
          <w:p w14:paraId="61EA7DE8">
            <w:pPr>
              <w:pStyle w:val="39"/>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p>
        </w:tc>
        <w:tc>
          <w:tcPr>
            <w:tcW w:w="1095" w:type="dxa"/>
            <w:vMerge w:val="restart"/>
            <w:vAlign w:val="center"/>
          </w:tcPr>
          <w:p w14:paraId="6A33AC6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p>
        </w:tc>
        <w:tc>
          <w:tcPr>
            <w:tcW w:w="1500" w:type="dxa"/>
            <w:vMerge w:val="restart"/>
            <w:vAlign w:val="center"/>
          </w:tcPr>
          <w:p w14:paraId="4084A2A4">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943" w:type="dxa"/>
            <w:vMerge w:val="restart"/>
            <w:vAlign w:val="center"/>
          </w:tcPr>
          <w:p w14:paraId="740FDCF2">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p>
        </w:tc>
      </w:tr>
      <w:tr w14:paraId="7AB9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vMerge w:val="continue"/>
            <w:vAlign w:val="center"/>
          </w:tcPr>
          <w:p w14:paraId="6F627ED9">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p>
        </w:tc>
        <w:tc>
          <w:tcPr>
            <w:tcW w:w="701" w:type="dxa"/>
            <w:vAlign w:val="center"/>
          </w:tcPr>
          <w:p w14:paraId="6163F707">
            <w:pPr>
              <w:pStyle w:val="39"/>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2" w:type="dxa"/>
            <w:vAlign w:val="center"/>
          </w:tcPr>
          <w:p w14:paraId="3CFF62C0">
            <w:pPr>
              <w:pStyle w:val="39"/>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p>
        </w:tc>
        <w:tc>
          <w:tcPr>
            <w:tcW w:w="837" w:type="dxa"/>
            <w:vAlign w:val="center"/>
          </w:tcPr>
          <w:p w14:paraId="306462B4">
            <w:pPr>
              <w:pStyle w:val="39"/>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p>
        </w:tc>
        <w:tc>
          <w:tcPr>
            <w:tcW w:w="1095" w:type="dxa"/>
            <w:vMerge w:val="continue"/>
            <w:vAlign w:val="center"/>
          </w:tcPr>
          <w:p w14:paraId="1625BF02">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p>
        </w:tc>
        <w:tc>
          <w:tcPr>
            <w:tcW w:w="1500" w:type="dxa"/>
            <w:vMerge w:val="continue"/>
            <w:vAlign w:val="center"/>
          </w:tcPr>
          <w:p w14:paraId="59DD1BA2">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943" w:type="dxa"/>
            <w:vMerge w:val="continue"/>
            <w:vAlign w:val="center"/>
          </w:tcPr>
          <w:p w14:paraId="21B90AD7">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p>
        </w:tc>
      </w:tr>
      <w:tr w14:paraId="0380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3" w:type="dxa"/>
            <w:gridSpan w:val="3"/>
            <w:vAlign w:val="center"/>
          </w:tcPr>
          <w:p w14:paraId="0D792CED">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总投标报价</w:t>
            </w:r>
          </w:p>
        </w:tc>
        <w:tc>
          <w:tcPr>
            <w:tcW w:w="5375" w:type="dxa"/>
            <w:gridSpan w:val="4"/>
            <w:vAlign w:val="center"/>
          </w:tcPr>
          <w:p w14:paraId="128DA6F1">
            <w:pPr>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                         小写：</w:t>
            </w:r>
          </w:p>
        </w:tc>
      </w:tr>
      <w:tr w14:paraId="637D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1" w:type="dxa"/>
            <w:gridSpan w:val="2"/>
            <w:vAlign w:val="center"/>
          </w:tcPr>
          <w:p w14:paraId="287870DB">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287" w:type="dxa"/>
            <w:gridSpan w:val="5"/>
            <w:vAlign w:val="center"/>
          </w:tcPr>
          <w:p w14:paraId="5EE3DFDC">
            <w:pPr>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4"/>
                <w:szCs w:val="24"/>
                <w:highlight w:val="none"/>
              </w:rPr>
            </w:pPr>
          </w:p>
        </w:tc>
      </w:tr>
    </w:tbl>
    <w:p w14:paraId="7953B41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25964BB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6B3552A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236A9F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BEB5F4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07AE26B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1B18034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0C29D08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二、投标分项报价表</w:t>
      </w:r>
    </w:p>
    <w:p w14:paraId="28E9EA2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23C4BC8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p w14:paraId="7644C3C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货币及单位：人民币元</w:t>
      </w:r>
    </w:p>
    <w:tbl>
      <w:tblPr>
        <w:tblStyle w:val="22"/>
        <w:tblW w:w="870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3"/>
        <w:gridCol w:w="1053"/>
        <w:gridCol w:w="1053"/>
        <w:gridCol w:w="881"/>
        <w:gridCol w:w="1053"/>
        <w:gridCol w:w="1053"/>
        <w:gridCol w:w="771"/>
        <w:gridCol w:w="1053"/>
        <w:gridCol w:w="731"/>
      </w:tblGrid>
      <w:tr w14:paraId="301FC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jc w:val="center"/>
        </w:trPr>
        <w:tc>
          <w:tcPr>
            <w:tcW w:w="1053" w:type="dxa"/>
          </w:tcPr>
          <w:p w14:paraId="712E0ED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053" w:type="dxa"/>
          </w:tcPr>
          <w:p w14:paraId="09B26A0C">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053" w:type="dxa"/>
          </w:tcPr>
          <w:p w14:paraId="20A8336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投标标的</w:t>
            </w:r>
          </w:p>
        </w:tc>
        <w:tc>
          <w:tcPr>
            <w:tcW w:w="881" w:type="dxa"/>
          </w:tcPr>
          <w:p w14:paraId="478414E5">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053" w:type="dxa"/>
          </w:tcPr>
          <w:p w14:paraId="2622D039">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来源地</w:t>
            </w:r>
          </w:p>
        </w:tc>
        <w:tc>
          <w:tcPr>
            <w:tcW w:w="1053" w:type="dxa"/>
          </w:tcPr>
          <w:p w14:paraId="14C858B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单价（现场）</w:t>
            </w:r>
          </w:p>
        </w:tc>
        <w:tc>
          <w:tcPr>
            <w:tcW w:w="771" w:type="dxa"/>
          </w:tcPr>
          <w:p w14:paraId="126AAC3E">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3" w:type="dxa"/>
          </w:tcPr>
          <w:p w14:paraId="0D0D7CE8">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总价（现场）</w:t>
            </w:r>
          </w:p>
        </w:tc>
        <w:tc>
          <w:tcPr>
            <w:tcW w:w="731" w:type="dxa"/>
          </w:tcPr>
          <w:p w14:paraId="0AD94E6B">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FFDB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6" w:hRule="atLeast"/>
          <w:jc w:val="center"/>
        </w:trPr>
        <w:tc>
          <w:tcPr>
            <w:tcW w:w="1053" w:type="dxa"/>
            <w:vMerge w:val="restart"/>
          </w:tcPr>
          <w:p w14:paraId="106E727A">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53" w:type="dxa"/>
          </w:tcPr>
          <w:p w14:paraId="1819149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3" w:type="dxa"/>
          </w:tcPr>
          <w:p w14:paraId="43258D19">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881" w:type="dxa"/>
          </w:tcPr>
          <w:p w14:paraId="1472C96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2582EAD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3FD2644F">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771" w:type="dxa"/>
          </w:tcPr>
          <w:p w14:paraId="6C3F7825">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29108AD7">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731" w:type="dxa"/>
          </w:tcPr>
          <w:p w14:paraId="132BB0EE">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2C31D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6" w:hRule="atLeast"/>
          <w:jc w:val="center"/>
        </w:trPr>
        <w:tc>
          <w:tcPr>
            <w:tcW w:w="1053" w:type="dxa"/>
            <w:vMerge w:val="continue"/>
          </w:tcPr>
          <w:p w14:paraId="4C06E57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4B25760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53" w:type="dxa"/>
          </w:tcPr>
          <w:p w14:paraId="403267B9">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881" w:type="dxa"/>
          </w:tcPr>
          <w:p w14:paraId="636F370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37629A1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32506742">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771" w:type="dxa"/>
          </w:tcPr>
          <w:p w14:paraId="14B3B88C">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42FA615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731" w:type="dxa"/>
          </w:tcPr>
          <w:p w14:paraId="1895CDAA">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2FBFD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jc w:val="center"/>
        </w:trPr>
        <w:tc>
          <w:tcPr>
            <w:tcW w:w="1053" w:type="dxa"/>
          </w:tcPr>
          <w:p w14:paraId="4AC5D0A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53" w:type="dxa"/>
          </w:tcPr>
          <w:p w14:paraId="03829AA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56B641B6">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881" w:type="dxa"/>
          </w:tcPr>
          <w:p w14:paraId="77F6586F">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108F9F86">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14478D1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771" w:type="dxa"/>
          </w:tcPr>
          <w:p w14:paraId="59DB65E6">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53" w:type="dxa"/>
          </w:tcPr>
          <w:p w14:paraId="2E012E3F">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731" w:type="dxa"/>
          </w:tcPr>
          <w:p w14:paraId="231AB456">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bl>
    <w:p w14:paraId="6275C8F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361B4A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2C2D3BB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1B7F1C8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w:t>
      </w:r>
    </w:p>
    <w:p w14:paraId="193DB49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1.3“投标标的”为服务的：“规格”项下应填写服务提供者提供的服务标准及品牌（若有）。“来源地”应填写服务提供者的所在地。</w:t>
      </w:r>
    </w:p>
    <w:p w14:paraId="386BA67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1.4同一采购包中，“单价（现场）”×“数量”=“总价（现场）”，全部品目号“总价（现场）”的合计金额应与《开标一览表》中相应采购包列示的“投标总价”保持一致。</w:t>
      </w:r>
    </w:p>
    <w:p w14:paraId="6242B21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1.5若招标文件要求投标人对“备品备件价格、专用工具价格、技术服务费、安装调试费、检验培训费、运输费、保险费、税收”等进行报价的，请在本表的“备注”项下填写。</w:t>
      </w:r>
    </w:p>
    <w:p w14:paraId="26C546F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023498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4CC3634">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51C728E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三、招标文件规定的价格扣除证明材料（若有）</w:t>
      </w:r>
    </w:p>
    <w:p w14:paraId="5D73E03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三-1优先类节能产品、环境标志产品价格扣除证明材料（若有）</w:t>
      </w:r>
    </w:p>
    <w:p w14:paraId="417E7C8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三-1-①优先类节能产品、环境标志产品统计表（价格扣除适用，若有）</w:t>
      </w:r>
    </w:p>
    <w:p w14:paraId="1B4F139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270641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p w14:paraId="13F2DC4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货币及单位：人民币元</w:t>
      </w:r>
    </w:p>
    <w:tbl>
      <w:tblPr>
        <w:tblStyle w:val="22"/>
        <w:tblW w:w="947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3"/>
        <w:gridCol w:w="1353"/>
        <w:gridCol w:w="1353"/>
        <w:gridCol w:w="1353"/>
        <w:gridCol w:w="1353"/>
        <w:gridCol w:w="1353"/>
        <w:gridCol w:w="1361"/>
      </w:tblGrid>
      <w:tr w14:paraId="17FF7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9" w:hRule="atLeast"/>
          <w:jc w:val="center"/>
        </w:trPr>
        <w:tc>
          <w:tcPr>
            <w:tcW w:w="1353" w:type="dxa"/>
          </w:tcPr>
          <w:p w14:paraId="34A05845">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8126" w:type="dxa"/>
            <w:gridSpan w:val="6"/>
          </w:tcPr>
          <w:p w14:paraId="1196A756">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ind w:firstLine="9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本采购包内属于节能、环境标志产品的情况</w:t>
            </w:r>
          </w:p>
        </w:tc>
      </w:tr>
      <w:tr w14:paraId="5FF81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jc w:val="center"/>
        </w:trPr>
        <w:tc>
          <w:tcPr>
            <w:tcW w:w="1353" w:type="dxa"/>
          </w:tcPr>
          <w:p w14:paraId="6CB439FE">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353" w:type="dxa"/>
          </w:tcPr>
          <w:p w14:paraId="45745A2B">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353" w:type="dxa"/>
          </w:tcPr>
          <w:p w14:paraId="612A536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353" w:type="dxa"/>
          </w:tcPr>
          <w:p w14:paraId="4A7DB8AB">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单价（现场）</w:t>
            </w:r>
          </w:p>
        </w:tc>
        <w:tc>
          <w:tcPr>
            <w:tcW w:w="1353" w:type="dxa"/>
          </w:tcPr>
          <w:p w14:paraId="796B9395">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53" w:type="dxa"/>
          </w:tcPr>
          <w:p w14:paraId="181BD139">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总价（现场）</w:t>
            </w:r>
          </w:p>
        </w:tc>
        <w:tc>
          <w:tcPr>
            <w:tcW w:w="1361" w:type="dxa"/>
          </w:tcPr>
          <w:p w14:paraId="5A54F33B">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认证种类</w:t>
            </w:r>
          </w:p>
        </w:tc>
      </w:tr>
      <w:tr w14:paraId="1146E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9" w:hRule="atLeast"/>
          <w:jc w:val="center"/>
        </w:trPr>
        <w:tc>
          <w:tcPr>
            <w:tcW w:w="1353" w:type="dxa"/>
            <w:vMerge w:val="restart"/>
          </w:tcPr>
          <w:p w14:paraId="712CA8BE">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3" w:type="dxa"/>
          </w:tcPr>
          <w:p w14:paraId="52613425">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3" w:type="dxa"/>
          </w:tcPr>
          <w:p w14:paraId="3D598D7C">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353" w:type="dxa"/>
          </w:tcPr>
          <w:p w14:paraId="0856A88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353" w:type="dxa"/>
          </w:tcPr>
          <w:p w14:paraId="5D87C55E">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353" w:type="dxa"/>
          </w:tcPr>
          <w:p w14:paraId="50B22BEE">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361" w:type="dxa"/>
          </w:tcPr>
          <w:p w14:paraId="4859208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1FB71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9" w:hRule="atLeast"/>
          <w:jc w:val="center"/>
        </w:trPr>
        <w:tc>
          <w:tcPr>
            <w:tcW w:w="1353" w:type="dxa"/>
            <w:vMerge w:val="continue"/>
          </w:tcPr>
          <w:p w14:paraId="4EA16C1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353" w:type="dxa"/>
          </w:tcPr>
          <w:p w14:paraId="15788CED">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3" w:type="dxa"/>
          </w:tcPr>
          <w:p w14:paraId="2387951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353" w:type="dxa"/>
          </w:tcPr>
          <w:p w14:paraId="5CA4B166">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353" w:type="dxa"/>
          </w:tcPr>
          <w:p w14:paraId="0D54580E">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353" w:type="dxa"/>
          </w:tcPr>
          <w:p w14:paraId="2869F0C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361" w:type="dxa"/>
          </w:tcPr>
          <w:p w14:paraId="10597C7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13693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jc w:val="center"/>
        </w:trPr>
        <w:tc>
          <w:tcPr>
            <w:tcW w:w="1353" w:type="dxa"/>
          </w:tcPr>
          <w:p w14:paraId="762308DE">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126" w:type="dxa"/>
            <w:gridSpan w:val="6"/>
          </w:tcPr>
          <w:p w14:paraId="348F577B">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采购包内属于节能、环境标志产品的报价总金额：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tc>
      </w:tr>
    </w:tbl>
    <w:p w14:paraId="3E7908A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FD6256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1、对节能、环境标志产品计算价格扣除时，只依据投标文件“三-1-②优先类节能产品、环境标志产品证明材料（价格扣除适用，若有）”。</w:t>
      </w:r>
    </w:p>
    <w:p w14:paraId="302234E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2、本表以采购包为单位，不同采购包请分别填写；同一采购包请按照其品目号顺序分别填写。</w:t>
      </w:r>
    </w:p>
    <w:p w14:paraId="0630126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3、具体统计、计算：</w:t>
      </w:r>
    </w:p>
    <w:p w14:paraId="667EB20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3.1若节能、环境标志产品仅是构成投标产品的部件、组件或零件，则该投标产品不享受鼓励优惠政策。同一品目中各认证证书不重复计算价格扣除。强制类节能产品不享受价格扣除。</w:t>
      </w:r>
    </w:p>
    <w:p w14:paraId="40BE3BA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3.2计算结果若除不尽，可四舍五入保留到小数点后两位。</w:t>
      </w:r>
    </w:p>
    <w:p w14:paraId="54EB060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3.3投标人应按照招标文件要求认真统计、计算，否则评标委员会不予认定。</w:t>
      </w:r>
    </w:p>
    <w:p w14:paraId="0B6F424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3.4若无节能、环境标志产品，不填写本表，否则，视为提供虚假材料。</w:t>
      </w:r>
    </w:p>
    <w:p w14:paraId="1CE9CFC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6C90840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A0AED8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CFF8606">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lang w:val="en-US"/>
        </w:rPr>
      </w:pPr>
    </w:p>
    <w:p w14:paraId="3D47A60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p>
    <w:p w14:paraId="71C4007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p>
    <w:p w14:paraId="5A32A44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p>
    <w:p w14:paraId="43945FE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三-1-②优先类节能产品、环境标志产品证明材料（价格扣除适用，若有）</w:t>
      </w:r>
    </w:p>
    <w:p w14:paraId="361DB956">
      <w:pPr>
        <w:keepNext w:val="0"/>
        <w:keepLines w:val="0"/>
        <w:pageBreakBefore w:val="0"/>
        <w:widowControl/>
        <w:kinsoku/>
        <w:overflowPunct/>
        <w:topLinePunct w:val="0"/>
        <w:autoSpaceDE/>
        <w:autoSpaceDN/>
        <w:bidi w:val="0"/>
        <w:spacing w:before="0" w:beforeAutospacing="0" w:after="0" w:afterAutospacing="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995F4E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三-2小型、微型企业产品等价格扣除证明材料（若有）</w:t>
      </w:r>
    </w:p>
    <w:p w14:paraId="3564D3D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三-2-①中小企业声明函（价格扣除适用，若有）</w:t>
      </w:r>
    </w:p>
    <w:p w14:paraId="472EA6D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中小企业声明函（货物）</w:t>
      </w:r>
    </w:p>
    <w:p w14:paraId="340E8C3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7EB9F41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B334A8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FD6663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313729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E5189E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3D1CB7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8C65BF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1C93A32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0347DA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5686798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84AC4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6946FA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75349E2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38FC99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中小企业声明函（工程、服务）</w:t>
      </w:r>
    </w:p>
    <w:p w14:paraId="46DFE26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17A892E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43D7D1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E5AE97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F510DA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DA6B8E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000894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8C218B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3E3C14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39DCFE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1DB94D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466975F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B8E222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166D7B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037FB5C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5BE07B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三-2-②小型、微型企业等证明材料（价格扣除适用，若有）</w:t>
      </w:r>
    </w:p>
    <w:p w14:paraId="2FB69D8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11988AC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1、投标人应按照招标文件要求提供相应证明材料，证明材料应与《中小企业声明函》的内容相一致，否则视为《中小企业声明函》内容不真实。</w:t>
      </w:r>
    </w:p>
    <w:p w14:paraId="22B0FE3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2、投标人为监狱企业的，根据其提供的由省级以上监狱管理局、戒毒管理局（含新疆生产建设兵团）出具的属于监狱企业的证明文件进行认定，监狱企业视同小型、微型企业。</w:t>
      </w:r>
    </w:p>
    <w:p w14:paraId="3519044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3、投标人为残疾人福利性单位的，根据其提供的《残疾人福利性单位声明函》（格式附后）进行认定，残疾人福利性单位视同小型、微型企业。残疾人福利性单位属于小型、微型企业的，不重复享受政策。</w:t>
      </w:r>
    </w:p>
    <w:p w14:paraId="18B052A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26741E2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4C0DDD7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残疾人福利性单位声明函（价格扣除适用，若有）</w:t>
      </w:r>
    </w:p>
    <w:p w14:paraId="0B71396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CB859E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C9FEBC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645E22C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6B9B5E2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5A980D6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F1B6B7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4DAC043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0729F76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525DBA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F6BFA9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1A2040B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21F1783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监狱企业证明材料</w:t>
      </w:r>
    </w:p>
    <w:p w14:paraId="4D60625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投标人为监狱企业，提供本单位制造的货物（承接的服务），并在投标文件中提供省级以上监狱管理局、戒毒管理局（含新疆生产建设兵团）出具的属于监狱企业的证明文件。</w:t>
      </w:r>
    </w:p>
    <w:p w14:paraId="4646877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6F27312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p>
    <w:p w14:paraId="71BC599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三-3招标文件规定的其他价格扣除证明材料（若有）</w:t>
      </w:r>
    </w:p>
    <w:p w14:paraId="19E9DCB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77B4818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07A3F94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3994EBE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rPr>
      </w:pPr>
    </w:p>
    <w:p w14:paraId="4B9182F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5D4AFDD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7B5A772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CA4B6E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封面格式(技术商务部分)</w:t>
      </w:r>
    </w:p>
    <w:p w14:paraId="2EA4DA2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highlight w:val="none"/>
        </w:rPr>
      </w:pPr>
    </w:p>
    <w:p w14:paraId="635C4FE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福州大学附属省立医院院内采购项目</w:t>
      </w:r>
    </w:p>
    <w:p w14:paraId="7B09334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件</w:t>
      </w:r>
    </w:p>
    <w:p w14:paraId="64FC832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2"/>
          <w:rFonts w:hint="eastAsia" w:ascii="宋体" w:hAnsi="宋体" w:eastAsia="宋体" w:cs="宋体"/>
          <w:color w:val="auto"/>
          <w:sz w:val="36"/>
          <w:szCs w:val="36"/>
          <w:highlight w:val="none"/>
          <w:lang w:eastAsia="zh-CN"/>
        </w:rPr>
      </w:pPr>
      <w:bookmarkStart w:id="106" w:name="_Toc20500"/>
      <w:bookmarkStart w:id="107" w:name="_Toc11130"/>
      <w:bookmarkStart w:id="108" w:name="_Toc143178235"/>
      <w:bookmarkStart w:id="109" w:name="_Toc31701"/>
      <w:bookmarkStart w:id="110" w:name="_Toc2948"/>
      <w:bookmarkStart w:id="111" w:name="_Toc12501"/>
      <w:bookmarkStart w:id="112" w:name="_Toc5193"/>
      <w:bookmarkStart w:id="113" w:name="_Toc6540"/>
      <w:bookmarkStart w:id="114" w:name="_Toc28418"/>
      <w:bookmarkStart w:id="115" w:name="_Toc9169"/>
      <w:r>
        <w:rPr>
          <w:rStyle w:val="32"/>
          <w:rFonts w:hint="eastAsia" w:ascii="宋体" w:hAnsi="宋体" w:eastAsia="宋体" w:cs="宋体"/>
          <w:color w:val="auto"/>
          <w:sz w:val="36"/>
          <w:szCs w:val="36"/>
          <w:highlight w:val="none"/>
        </w:rPr>
        <w:t>技术商务部分</w:t>
      </w:r>
      <w:bookmarkEnd w:id="106"/>
      <w:bookmarkEnd w:id="107"/>
      <w:bookmarkEnd w:id="108"/>
      <w:bookmarkEnd w:id="109"/>
      <w:bookmarkEnd w:id="110"/>
      <w:bookmarkEnd w:id="111"/>
      <w:bookmarkEnd w:id="112"/>
      <w:bookmarkEnd w:id="113"/>
      <w:bookmarkEnd w:id="114"/>
    </w:p>
    <w:p w14:paraId="79E7666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2"/>
          <w:rFonts w:hint="eastAsia" w:ascii="宋体" w:hAnsi="宋体" w:eastAsia="宋体" w:cs="宋体"/>
          <w:color w:val="auto"/>
          <w:sz w:val="36"/>
          <w:szCs w:val="36"/>
          <w:highlight w:val="none"/>
          <w:lang w:eastAsia="zh-CN"/>
        </w:rPr>
      </w:pPr>
    </w:p>
    <w:p w14:paraId="4C7F892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b/>
          <w:color w:val="auto"/>
          <w:sz w:val="36"/>
          <w:szCs w:val="36"/>
          <w:highlight w:val="none"/>
          <w:lang w:eastAsia="zh-CN"/>
        </w:rPr>
      </w:pPr>
      <w:bookmarkStart w:id="116" w:name="_Toc15907"/>
      <w:bookmarkStart w:id="117" w:name="_Toc29801"/>
      <w:r>
        <w:rPr>
          <w:rFonts w:hint="eastAsia" w:ascii="宋体" w:hAnsi="宋体" w:eastAsia="宋体" w:cs="宋体"/>
          <w:b/>
          <w:color w:val="auto"/>
          <w:sz w:val="36"/>
          <w:szCs w:val="36"/>
          <w:highlight w:val="none"/>
        </w:rPr>
        <w:t>（填写正本或副本）</w:t>
      </w:r>
      <w:bookmarkEnd w:id="115"/>
      <w:bookmarkEnd w:id="116"/>
      <w:bookmarkEnd w:id="117"/>
    </w:p>
    <w:p w14:paraId="2EE70E1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b/>
          <w:color w:val="auto"/>
          <w:sz w:val="36"/>
          <w:szCs w:val="36"/>
          <w:highlight w:val="none"/>
          <w:lang w:eastAsia="zh-CN"/>
        </w:rPr>
      </w:pPr>
    </w:p>
    <w:p w14:paraId="25BF3F4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color w:val="auto"/>
          <w:sz w:val="36"/>
          <w:szCs w:val="36"/>
          <w:highlight w:val="none"/>
          <w:lang w:eastAsia="zh-CN"/>
        </w:rPr>
      </w:pPr>
    </w:p>
    <w:p w14:paraId="6562B96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color w:val="auto"/>
          <w:sz w:val="36"/>
          <w:szCs w:val="36"/>
          <w:highlight w:val="none"/>
          <w:lang w:eastAsia="zh-CN"/>
        </w:rPr>
      </w:pPr>
    </w:p>
    <w:p w14:paraId="2F0F230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color w:val="auto"/>
          <w:sz w:val="36"/>
          <w:szCs w:val="36"/>
          <w:highlight w:val="none"/>
          <w:lang w:eastAsia="zh-CN"/>
        </w:rPr>
      </w:pPr>
    </w:p>
    <w:p w14:paraId="790ADA7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color w:val="auto"/>
          <w:sz w:val="36"/>
          <w:szCs w:val="36"/>
          <w:highlight w:val="none"/>
          <w:lang w:eastAsia="zh-CN"/>
        </w:rPr>
      </w:pPr>
    </w:p>
    <w:p w14:paraId="3488D0D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项目名称：（由投标人填写）</w:t>
      </w:r>
    </w:p>
    <w:p w14:paraId="4071A9F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项目编号：（由投标人填写）</w:t>
      </w:r>
    </w:p>
    <w:p w14:paraId="3F094F1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所投采购包：（由投标人填写）</w:t>
      </w:r>
    </w:p>
    <w:p w14:paraId="585A02D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highlight w:val="none"/>
          <w:lang w:eastAsia="zh-CN"/>
        </w:rPr>
      </w:pPr>
    </w:p>
    <w:p w14:paraId="2D4B3BE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lang w:eastAsia="zh-CN"/>
        </w:rPr>
      </w:pPr>
    </w:p>
    <w:p w14:paraId="7C21CA9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投标人：（填写“全称”）</w:t>
      </w:r>
    </w:p>
    <w:p w14:paraId="2F8A9B9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（由投标人填写）年（由投标人填写）月</w:t>
      </w:r>
    </w:p>
    <w:p w14:paraId="19FD6A2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86C000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3FC896B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398424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索引</w:t>
      </w:r>
    </w:p>
    <w:p w14:paraId="6F19365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03A2493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一、标的说明一览表</w:t>
      </w:r>
    </w:p>
    <w:p w14:paraId="467CAD5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二、技术和服务要求响应表</w:t>
      </w:r>
    </w:p>
    <w:p w14:paraId="05CE8C3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三、商务条件响应表</w:t>
      </w:r>
    </w:p>
    <w:p w14:paraId="15AB29D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四、投标人提交的其他资料（若有）</w:t>
      </w:r>
    </w:p>
    <w:p w14:paraId="3589AE7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1D4DE5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技术商务部分中不得出现报价部分的全部或部分的投标报价信息（或组成资料），否则符合性审查不合格。</w:t>
      </w:r>
    </w:p>
    <w:p w14:paraId="3207D49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2E1375D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09CB9CF1">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E96AC1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一、标的说明一览表</w:t>
      </w:r>
    </w:p>
    <w:p w14:paraId="579C193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72F665E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6"/>
        <w:gridCol w:w="988"/>
        <w:gridCol w:w="1243"/>
        <w:gridCol w:w="1243"/>
        <w:gridCol w:w="1243"/>
        <w:gridCol w:w="1244"/>
        <w:gridCol w:w="1244"/>
      </w:tblGrid>
      <w:tr w14:paraId="2FE26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 w:hRule="atLeast"/>
        </w:trPr>
        <w:tc>
          <w:tcPr>
            <w:tcW w:w="986" w:type="dxa"/>
          </w:tcPr>
          <w:p w14:paraId="6A4AC6E7">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988" w:type="dxa"/>
          </w:tcPr>
          <w:p w14:paraId="3CC3DC36">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243" w:type="dxa"/>
          </w:tcPr>
          <w:p w14:paraId="136D2A15">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投标标的</w:t>
            </w:r>
          </w:p>
        </w:tc>
        <w:tc>
          <w:tcPr>
            <w:tcW w:w="1243" w:type="dxa"/>
          </w:tcPr>
          <w:p w14:paraId="34905264">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43" w:type="dxa"/>
          </w:tcPr>
          <w:p w14:paraId="7A7C762C">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244" w:type="dxa"/>
          </w:tcPr>
          <w:p w14:paraId="339E8D65">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来源地</w:t>
            </w:r>
          </w:p>
        </w:tc>
        <w:tc>
          <w:tcPr>
            <w:tcW w:w="1244" w:type="dxa"/>
          </w:tcPr>
          <w:p w14:paraId="414E58CD">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E548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vMerge w:val="restart"/>
          </w:tcPr>
          <w:p w14:paraId="6A8C3FEC">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88" w:type="dxa"/>
          </w:tcPr>
          <w:p w14:paraId="1EFE19B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3" w:type="dxa"/>
          </w:tcPr>
          <w:p w14:paraId="5FD43B55">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tcPr>
          <w:p w14:paraId="6658AC57">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tcPr>
          <w:p w14:paraId="1C5FA0BB">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tcPr>
          <w:p w14:paraId="1A7ECA9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vMerge w:val="continue"/>
          </w:tcPr>
          <w:p w14:paraId="3D25175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5B2FB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vMerge w:val="continue"/>
          </w:tcPr>
          <w:p w14:paraId="014EBE5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988" w:type="dxa"/>
          </w:tcPr>
          <w:p w14:paraId="1182752D">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3" w:type="dxa"/>
          </w:tcPr>
          <w:p w14:paraId="62A56667">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tcPr>
          <w:p w14:paraId="03F4164E">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tcPr>
          <w:p w14:paraId="0F91D634">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tcPr>
          <w:p w14:paraId="2405304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vMerge w:val="continue"/>
          </w:tcPr>
          <w:p w14:paraId="54456AC4">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5CEF1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tcPr>
          <w:p w14:paraId="4D0DAA09">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88" w:type="dxa"/>
          </w:tcPr>
          <w:p w14:paraId="045F66C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p>
        </w:tc>
        <w:tc>
          <w:tcPr>
            <w:tcW w:w="1243" w:type="dxa"/>
          </w:tcPr>
          <w:p w14:paraId="333B3B9E">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tcPr>
          <w:p w14:paraId="73F1F5CE">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tcPr>
          <w:p w14:paraId="0A6165D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tcPr>
          <w:p w14:paraId="5146F8FA">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tcPr>
          <w:p w14:paraId="5A23910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bl>
    <w:p w14:paraId="18AC0B00">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7375CB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2793CA4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1.1“采购包”、“品目号”、“投标标的”及“数量”应与招标文件《采购标的一览表》中的有关内容（“采购包”、“品目号”、“采购标的”及“数量”）保持一致。</w:t>
      </w:r>
    </w:p>
    <w:p w14:paraId="2053D9F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A514A2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551A8A48">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809DA5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3、投标文件中涉及“投标标的”、“数量”、“规格”、“来源地”的内容若不一致，应以本表为准。</w:t>
      </w:r>
    </w:p>
    <w:p w14:paraId="1085BF0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091B3E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48BAE9C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06A34C2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38CBAD7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25EA54E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二、技术和服务要求响应表</w:t>
      </w:r>
    </w:p>
    <w:p w14:paraId="700EB6E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036754B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22"/>
        <w:tblW w:w="705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9"/>
        <w:gridCol w:w="956"/>
        <w:gridCol w:w="1904"/>
        <w:gridCol w:w="1184"/>
        <w:gridCol w:w="1904"/>
      </w:tblGrid>
      <w:tr w14:paraId="0735F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jc w:val="center"/>
        </w:trPr>
        <w:tc>
          <w:tcPr>
            <w:tcW w:w="1109" w:type="dxa"/>
          </w:tcPr>
          <w:p w14:paraId="67FF2DB9">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956" w:type="dxa"/>
          </w:tcPr>
          <w:p w14:paraId="4FB9E8D2">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904" w:type="dxa"/>
          </w:tcPr>
          <w:p w14:paraId="542AD338">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技术和服务要求</w:t>
            </w:r>
          </w:p>
        </w:tc>
        <w:tc>
          <w:tcPr>
            <w:tcW w:w="1184" w:type="dxa"/>
          </w:tcPr>
          <w:p w14:paraId="7E00118F">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04" w:type="dxa"/>
          </w:tcPr>
          <w:p w14:paraId="266B2F8A">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016C6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jc w:val="center"/>
        </w:trPr>
        <w:tc>
          <w:tcPr>
            <w:tcW w:w="1109" w:type="dxa"/>
            <w:vMerge w:val="restart"/>
          </w:tcPr>
          <w:p w14:paraId="20CA667A">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56" w:type="dxa"/>
          </w:tcPr>
          <w:p w14:paraId="1F73743E">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04" w:type="dxa"/>
          </w:tcPr>
          <w:p w14:paraId="4834B1F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184" w:type="dxa"/>
          </w:tcPr>
          <w:p w14:paraId="58650F8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904" w:type="dxa"/>
          </w:tcPr>
          <w:p w14:paraId="1F30F84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6DE44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jc w:val="center"/>
        </w:trPr>
        <w:tc>
          <w:tcPr>
            <w:tcW w:w="1109" w:type="dxa"/>
            <w:vMerge w:val="continue"/>
          </w:tcPr>
          <w:p w14:paraId="64E5B4D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956" w:type="dxa"/>
          </w:tcPr>
          <w:p w14:paraId="7BE00CA1">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04" w:type="dxa"/>
          </w:tcPr>
          <w:p w14:paraId="572F14D5">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184" w:type="dxa"/>
          </w:tcPr>
          <w:p w14:paraId="7FB33404">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904" w:type="dxa"/>
          </w:tcPr>
          <w:p w14:paraId="68E86FD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3B75B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jc w:val="center"/>
        </w:trPr>
        <w:tc>
          <w:tcPr>
            <w:tcW w:w="1109" w:type="dxa"/>
          </w:tcPr>
          <w:p w14:paraId="13A210B7">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56" w:type="dxa"/>
          </w:tcPr>
          <w:p w14:paraId="64C50CD2">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904" w:type="dxa"/>
          </w:tcPr>
          <w:p w14:paraId="68DACE12">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184" w:type="dxa"/>
          </w:tcPr>
          <w:p w14:paraId="66972F8B">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904" w:type="dxa"/>
          </w:tcPr>
          <w:p w14:paraId="6063D95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bl>
    <w:p w14:paraId="073D6EF4">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5877EB4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FC96C1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10F2221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1.1“技术和服务要求”项下填写的内容应与招标文件第五章“技术和服务要求”的内容保持一致。</w:t>
      </w:r>
    </w:p>
    <w:p w14:paraId="15F5E0F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69496E7">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1.3“是否偏离及说明”项下应按下列规定填写：优于的，填写“正偏离”；符合的，填写“无偏离”；低于的，填写“负偏离”。</w:t>
      </w:r>
    </w:p>
    <w:p w14:paraId="46A3B78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1C0A1AC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4AD877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3BFB5C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088CDA73">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3678CBDC">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15D5031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三、商务条件响应表</w:t>
      </w:r>
    </w:p>
    <w:p w14:paraId="6CA777A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2DB911E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22"/>
        <w:tblW w:w="726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
        <w:gridCol w:w="1068"/>
        <w:gridCol w:w="1426"/>
        <w:gridCol w:w="1912"/>
        <w:gridCol w:w="1912"/>
      </w:tblGrid>
      <w:tr w14:paraId="3A715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7" w:hRule="atLeast"/>
          <w:jc w:val="center"/>
        </w:trPr>
        <w:tc>
          <w:tcPr>
            <w:tcW w:w="944" w:type="dxa"/>
          </w:tcPr>
          <w:p w14:paraId="7EA4FEB3">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068" w:type="dxa"/>
          </w:tcPr>
          <w:p w14:paraId="58A447A8">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426" w:type="dxa"/>
          </w:tcPr>
          <w:p w14:paraId="1F19FB30">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商务条件</w:t>
            </w:r>
          </w:p>
        </w:tc>
        <w:tc>
          <w:tcPr>
            <w:tcW w:w="1912" w:type="dxa"/>
          </w:tcPr>
          <w:p w14:paraId="5873CA38">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12" w:type="dxa"/>
          </w:tcPr>
          <w:p w14:paraId="776C955C">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2D407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944" w:type="dxa"/>
            <w:vMerge w:val="restart"/>
          </w:tcPr>
          <w:p w14:paraId="4FF1634D">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68" w:type="dxa"/>
          </w:tcPr>
          <w:p w14:paraId="30E732A3">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6" w:type="dxa"/>
          </w:tcPr>
          <w:p w14:paraId="49E5C137">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912" w:type="dxa"/>
          </w:tcPr>
          <w:p w14:paraId="2872EAF2">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912" w:type="dxa"/>
          </w:tcPr>
          <w:p w14:paraId="0A02A58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00454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944" w:type="dxa"/>
            <w:vMerge w:val="continue"/>
          </w:tcPr>
          <w:p w14:paraId="449D0C0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068" w:type="dxa"/>
          </w:tcPr>
          <w:p w14:paraId="79F87195">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26" w:type="dxa"/>
          </w:tcPr>
          <w:p w14:paraId="65A32FCF">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912" w:type="dxa"/>
          </w:tcPr>
          <w:p w14:paraId="2C799B8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912" w:type="dxa"/>
          </w:tcPr>
          <w:p w14:paraId="699D6CBB">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7B9AD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44" w:type="dxa"/>
          </w:tcPr>
          <w:p w14:paraId="2B76307E">
            <w:pPr>
              <w:pStyle w:val="30"/>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68" w:type="dxa"/>
          </w:tcPr>
          <w:p w14:paraId="4730B05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426" w:type="dxa"/>
          </w:tcPr>
          <w:p w14:paraId="68393D36">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912" w:type="dxa"/>
          </w:tcPr>
          <w:p w14:paraId="16EE1BC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912" w:type="dxa"/>
          </w:tcPr>
          <w:p w14:paraId="74A9C54B">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bl>
    <w:p w14:paraId="2BDD126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p>
    <w:p w14:paraId="509BD3C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8CAB9E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0B2B07C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1.1“商务条件”项下填写的内容应与招标文件第五章“商务条件”的内容保持一致。</w:t>
      </w:r>
    </w:p>
    <w:p w14:paraId="39D0F09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7AEA567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1.3“是否偏离及说明”项下应按下列规定填写：优于的，填写“正偏离”；符合的，填写“无偏离”；低于的，填写“负偏离”。</w:t>
      </w:r>
    </w:p>
    <w:p w14:paraId="02A9297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30A5B4CC">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41C6626">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446688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1B297D79">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highlight w:val="none"/>
        </w:rPr>
      </w:pPr>
    </w:p>
    <w:p w14:paraId="3E24028A">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14:paraId="360E5AB1">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四、投标人提交的其他资料（若有）</w:t>
      </w:r>
    </w:p>
    <w:p w14:paraId="6F20C9A5">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highlight w:val="none"/>
        </w:rPr>
      </w:pPr>
    </w:p>
    <w:p w14:paraId="173487AB">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3987AB7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1、招标文件要求提交的除“资格及资信证明部分”、“报价部分”外的其他证明材料或资料加盖投标人的单位公章后应在此项下提交。</w:t>
      </w:r>
    </w:p>
    <w:p w14:paraId="24EEE6FD">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2、招标文件要求投标人提供方案（包括但不限于：组织、实施、技术、服务方案等）的，投标人应在此项下提交。</w:t>
      </w:r>
    </w:p>
    <w:p w14:paraId="76B1F3DA">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3、除招标文件另有规定外，投标人认为需要提交的其他证明材料或资料加盖投标人的单位公章后应在此项下提交。</w:t>
      </w:r>
    </w:p>
    <w:p w14:paraId="3F01B7C4">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186761F">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
          <w:bCs/>
          <w:i/>
          <w:iCs/>
          <w:color w:val="auto"/>
          <w:sz w:val="28"/>
          <w:szCs w:val="28"/>
          <w:highlight w:val="none"/>
        </w:rPr>
      </w:pPr>
      <w:r>
        <w:rPr>
          <w:rFonts w:hint="eastAsia" w:ascii="宋体" w:hAnsi="宋体" w:eastAsia="宋体" w:cs="宋体"/>
          <w:b/>
          <w:bCs/>
          <w:i/>
          <w:iCs/>
          <w:color w:val="auto"/>
          <w:sz w:val="28"/>
          <w:szCs w:val="28"/>
          <w:highlight w:val="none"/>
        </w:rPr>
        <w:t>（以下为非投标文件组成部分</w:t>
      </w:r>
      <w:r>
        <w:rPr>
          <w:rFonts w:hint="eastAsia" w:ascii="宋体" w:hAnsi="宋体" w:eastAsia="宋体" w:cs="宋体"/>
          <w:b/>
          <w:bCs/>
          <w:i/>
          <w:iCs/>
          <w:color w:val="auto"/>
          <w:sz w:val="28"/>
          <w:szCs w:val="28"/>
          <w:highlight w:val="none"/>
          <w:lang w:eastAsia="zh-CN"/>
        </w:rPr>
        <w:t>，无需装订在投标文件中，按需使用</w:t>
      </w:r>
      <w:r>
        <w:rPr>
          <w:rFonts w:hint="eastAsia" w:ascii="宋体" w:hAnsi="宋体" w:eastAsia="宋体" w:cs="宋体"/>
          <w:b/>
          <w:bCs/>
          <w:i/>
          <w:iCs/>
          <w:color w:val="auto"/>
          <w:sz w:val="28"/>
          <w:szCs w:val="28"/>
          <w:highlight w:val="none"/>
        </w:rPr>
        <w:t>）</w:t>
      </w:r>
    </w:p>
    <w:p w14:paraId="4C4A4561">
      <w:pPr>
        <w:keepNext w:val="0"/>
        <w:keepLines w:val="0"/>
        <w:pageBreakBefore w:val="0"/>
        <w:widowControl/>
        <w:kinsoku/>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投标文件签收回执</w:t>
      </w:r>
    </w:p>
    <w:p w14:paraId="0AED04AE">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jc w:val="left"/>
        <w:textAlignment w:val="auto"/>
        <w:outlineLvl w:val="2"/>
        <w:rPr>
          <w:rFonts w:hint="eastAsia" w:ascii="宋体" w:hAnsi="宋体" w:eastAsia="宋体" w:cs="宋体"/>
          <w:color w:val="auto"/>
          <w:sz w:val="32"/>
          <w:szCs w:val="32"/>
          <w:highlight w:val="none"/>
        </w:rPr>
      </w:pPr>
      <w:r>
        <w:rPr>
          <w:rFonts w:hint="eastAsia" w:ascii="宋体" w:hAnsi="宋体" w:eastAsia="宋体" w:cs="宋体"/>
          <w:bCs/>
          <w:color w:val="auto"/>
          <w:sz w:val="24"/>
          <w:szCs w:val="24"/>
          <w:highlight w:val="none"/>
        </w:rPr>
        <w:t>福建立勤项目管理有限公司：</w:t>
      </w:r>
    </w:p>
    <w:p w14:paraId="25114CA3">
      <w:pPr>
        <w:keepNext w:val="0"/>
        <w:keepLines w:val="0"/>
        <w:pageBreakBefore w:val="0"/>
        <w:widowControl/>
        <w:kinsoku/>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我司递交至贵司的</w:t>
      </w:r>
      <w:r>
        <w:rPr>
          <w:rFonts w:hint="eastAsia" w:ascii="宋体" w:hAnsi="宋体" w:eastAsia="宋体" w:cs="宋体"/>
          <w:bCs/>
          <w:color w:val="auto"/>
          <w:kern w:val="0"/>
          <w:sz w:val="24"/>
          <w:szCs w:val="24"/>
          <w:highlight w:val="none"/>
          <w:lang w:eastAsia="zh-CN"/>
        </w:rPr>
        <w:t>福州大学附属省立医院东街、金山院区自助售卖机投放经营权出租项目</w:t>
      </w:r>
      <w:r>
        <w:rPr>
          <w:rFonts w:hint="eastAsia" w:ascii="宋体" w:hAnsi="宋体" w:eastAsia="宋体" w:cs="宋体"/>
          <w:bCs/>
          <w:color w:val="auto"/>
          <w:kern w:val="0"/>
          <w:sz w:val="24"/>
          <w:szCs w:val="24"/>
          <w:highlight w:val="none"/>
        </w:rPr>
        <w:t>项目（</w:t>
      </w:r>
      <w:r>
        <w:rPr>
          <w:rFonts w:hint="eastAsia" w:ascii="宋体" w:hAnsi="宋体" w:eastAsia="宋体" w:cs="宋体"/>
          <w:bCs/>
          <w:color w:val="auto"/>
          <w:kern w:val="0"/>
          <w:sz w:val="24"/>
          <w:szCs w:val="24"/>
          <w:highlight w:val="none"/>
          <w:lang w:val="en-US"/>
        </w:rPr>
        <w:t>项目</w:t>
      </w:r>
      <w:r>
        <w:rPr>
          <w:rFonts w:hint="eastAsia" w:ascii="宋体" w:hAnsi="宋体" w:eastAsia="宋体" w:cs="宋体"/>
          <w:bCs/>
          <w:color w:val="auto"/>
          <w:kern w:val="0"/>
          <w:sz w:val="24"/>
          <w:szCs w:val="24"/>
          <w:highlight w:val="none"/>
        </w:rPr>
        <w:t>编号：</w:t>
      </w:r>
      <w:r>
        <w:rPr>
          <w:rFonts w:hint="eastAsia" w:ascii="宋体" w:hAnsi="宋体" w:eastAsia="宋体" w:cs="宋体"/>
          <w:bCs/>
          <w:color w:val="auto"/>
          <w:kern w:val="0"/>
          <w:sz w:val="24"/>
          <w:szCs w:val="24"/>
          <w:highlight w:val="none"/>
          <w:lang w:eastAsia="zh-CN"/>
        </w:rPr>
        <w:t>ZC2025-013</w:t>
      </w:r>
      <w:r>
        <w:rPr>
          <w:rFonts w:hint="eastAsia" w:ascii="宋体" w:hAnsi="宋体" w:eastAsia="宋体" w:cs="宋体"/>
          <w:bCs/>
          <w:color w:val="auto"/>
          <w:kern w:val="0"/>
          <w:sz w:val="24"/>
          <w:szCs w:val="24"/>
          <w:highlight w:val="none"/>
        </w:rPr>
        <w:t>）的</w:t>
      </w:r>
      <w:r>
        <w:rPr>
          <w:rFonts w:hint="eastAsia" w:ascii="宋体" w:hAnsi="宋体" w:eastAsia="宋体" w:cs="宋体"/>
          <w:bCs/>
          <w:color w:val="auto"/>
          <w:kern w:val="0"/>
          <w:sz w:val="24"/>
          <w:szCs w:val="24"/>
          <w:highlight w:val="none"/>
          <w:u w:val="single"/>
        </w:rPr>
        <w:t>纸质</w:t>
      </w:r>
      <w:r>
        <w:rPr>
          <w:rFonts w:hint="eastAsia" w:ascii="宋体" w:hAnsi="宋体" w:eastAsia="宋体" w:cs="宋体"/>
          <w:bCs/>
          <w:color w:val="auto"/>
          <w:kern w:val="0"/>
          <w:sz w:val="24"/>
          <w:szCs w:val="24"/>
          <w:highlight w:val="none"/>
        </w:rPr>
        <w:t>投标文件（正本</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份，副本</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份），文件密封完好，请予接收。</w:t>
      </w:r>
    </w:p>
    <w:p w14:paraId="0D51B5C2">
      <w:pPr>
        <w:keepNext w:val="0"/>
        <w:keepLines w:val="0"/>
        <w:pageBreakBefore w:val="0"/>
        <w:widowControl/>
        <w:kinsoku/>
        <w:overflowPunct/>
        <w:topLinePunct w:val="0"/>
        <w:autoSpaceDE/>
        <w:autoSpaceDN/>
        <w:bidi w:val="0"/>
        <w:spacing w:before="0" w:beforeAutospacing="0" w:after="0" w:afterAutospacing="0" w:line="360" w:lineRule="auto"/>
        <w:ind w:firstLine="482" w:firstLineChars="200"/>
        <w:textAlignment w:val="auto"/>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rPr>
        <w:t>投标单位：</w:t>
      </w:r>
    </w:p>
    <w:p w14:paraId="0F88856F">
      <w:pPr>
        <w:keepNext w:val="0"/>
        <w:keepLines w:val="0"/>
        <w:pageBreakBefore w:val="0"/>
        <w:widowControl/>
        <w:kinsoku/>
        <w:overflowPunct/>
        <w:topLinePunct w:val="0"/>
        <w:autoSpaceDE/>
        <w:autoSpaceDN/>
        <w:bidi w:val="0"/>
        <w:spacing w:before="0" w:beforeAutospacing="0" w:after="0" w:afterAutospacing="0"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投标文件递交人：                    联系方式：</w:t>
      </w:r>
    </w:p>
    <w:p w14:paraId="753C23ED">
      <w:pPr>
        <w:keepNext w:val="0"/>
        <w:keepLines w:val="0"/>
        <w:pageBreakBefore w:val="0"/>
        <w:widowControl/>
        <w:kinsoku/>
        <w:overflowPunct/>
        <w:topLinePunct w:val="0"/>
        <w:autoSpaceDE/>
        <w:autoSpaceDN/>
        <w:bidi w:val="0"/>
        <w:spacing w:before="0" w:beforeAutospacing="0" w:after="0" w:afterAutospacing="0"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投标文件递交时间：</w:t>
      </w:r>
    </w:p>
    <w:tbl>
      <w:tblPr>
        <w:tblStyle w:val="22"/>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7BF561E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 w:hRule="atLeast"/>
          <w:jc w:val="center"/>
        </w:trPr>
        <w:tc>
          <w:tcPr>
            <w:tcW w:w="9720" w:type="dxa"/>
            <w:noWrap/>
          </w:tcPr>
          <w:p w14:paraId="559343E1">
            <w:pPr>
              <w:keepNext w:val="0"/>
              <w:keepLines w:val="0"/>
              <w:pageBreakBefore w:val="0"/>
              <w:widowControl/>
              <w:kinsoku/>
              <w:overflowPunct/>
              <w:topLinePunct w:val="0"/>
              <w:autoSpaceDE/>
              <w:autoSpaceDN/>
              <w:bidi w:val="0"/>
              <w:spacing w:before="0" w:beforeAutospacing="0" w:after="0" w:afterAutospacing="0" w:line="360" w:lineRule="auto"/>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（无需撕下）</w:t>
            </w:r>
          </w:p>
        </w:tc>
      </w:tr>
    </w:tbl>
    <w:p w14:paraId="5033898B">
      <w:pPr>
        <w:keepNext w:val="0"/>
        <w:keepLines w:val="0"/>
        <w:pageBreakBefore w:val="0"/>
        <w:widowControl/>
        <w:kinsoku/>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回  执</w:t>
      </w:r>
    </w:p>
    <w:p w14:paraId="5B2AE283">
      <w:pPr>
        <w:keepNext w:val="0"/>
        <w:keepLines w:val="0"/>
        <w:pageBreakBefore w:val="0"/>
        <w:widowControl/>
        <w:kinsoku/>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我司收到贵司递交的</w:t>
      </w:r>
      <w:r>
        <w:rPr>
          <w:rFonts w:hint="eastAsia" w:ascii="宋体" w:hAnsi="宋体" w:eastAsia="宋体" w:cs="宋体"/>
          <w:bCs/>
          <w:color w:val="auto"/>
          <w:kern w:val="0"/>
          <w:sz w:val="24"/>
          <w:szCs w:val="24"/>
          <w:highlight w:val="none"/>
          <w:lang w:eastAsia="zh-CN"/>
        </w:rPr>
        <w:t>福州大学附属省立医院东街、金山院区自助售卖机投放经营权出租项目</w:t>
      </w:r>
      <w:r>
        <w:rPr>
          <w:rFonts w:hint="eastAsia" w:ascii="宋体" w:hAnsi="宋体" w:eastAsia="宋体" w:cs="宋体"/>
          <w:bCs/>
          <w:color w:val="auto"/>
          <w:kern w:val="0"/>
          <w:sz w:val="24"/>
          <w:szCs w:val="24"/>
          <w:highlight w:val="none"/>
        </w:rPr>
        <w:t>项目（</w:t>
      </w:r>
      <w:r>
        <w:rPr>
          <w:rFonts w:hint="eastAsia" w:ascii="宋体" w:hAnsi="宋体" w:eastAsia="宋体" w:cs="宋体"/>
          <w:bCs/>
          <w:color w:val="auto"/>
          <w:kern w:val="0"/>
          <w:sz w:val="24"/>
          <w:szCs w:val="24"/>
          <w:highlight w:val="none"/>
          <w:lang w:val="en-US"/>
        </w:rPr>
        <w:t>项目</w:t>
      </w:r>
      <w:r>
        <w:rPr>
          <w:rFonts w:hint="eastAsia" w:ascii="宋体" w:hAnsi="宋体" w:eastAsia="宋体" w:cs="宋体"/>
          <w:bCs/>
          <w:color w:val="auto"/>
          <w:kern w:val="0"/>
          <w:sz w:val="24"/>
          <w:szCs w:val="24"/>
          <w:highlight w:val="none"/>
        </w:rPr>
        <w:t>编号：</w:t>
      </w:r>
      <w:r>
        <w:rPr>
          <w:rFonts w:hint="eastAsia" w:ascii="宋体" w:hAnsi="宋体" w:eastAsia="宋体" w:cs="宋体"/>
          <w:bCs/>
          <w:color w:val="auto"/>
          <w:kern w:val="0"/>
          <w:sz w:val="24"/>
          <w:szCs w:val="24"/>
          <w:highlight w:val="none"/>
          <w:lang w:eastAsia="zh-CN"/>
        </w:rPr>
        <w:t>ZC2025-013</w:t>
      </w:r>
      <w:r>
        <w:rPr>
          <w:rFonts w:hint="eastAsia" w:ascii="宋体" w:hAnsi="宋体" w:eastAsia="宋体" w:cs="宋体"/>
          <w:bCs/>
          <w:color w:val="auto"/>
          <w:kern w:val="0"/>
          <w:sz w:val="24"/>
          <w:szCs w:val="24"/>
          <w:highlight w:val="none"/>
        </w:rPr>
        <w:t>）的</w:t>
      </w:r>
      <w:r>
        <w:rPr>
          <w:rFonts w:hint="eastAsia" w:ascii="宋体" w:hAnsi="宋体" w:eastAsia="宋体" w:cs="宋体"/>
          <w:bCs/>
          <w:color w:val="auto"/>
          <w:kern w:val="0"/>
          <w:sz w:val="24"/>
          <w:szCs w:val="24"/>
          <w:highlight w:val="none"/>
          <w:u w:val="single"/>
        </w:rPr>
        <w:t>纸质</w:t>
      </w:r>
      <w:r>
        <w:rPr>
          <w:rFonts w:hint="eastAsia" w:ascii="宋体" w:hAnsi="宋体" w:eastAsia="宋体" w:cs="宋体"/>
          <w:bCs/>
          <w:color w:val="auto"/>
          <w:kern w:val="0"/>
          <w:sz w:val="24"/>
          <w:szCs w:val="24"/>
          <w:highlight w:val="none"/>
        </w:rPr>
        <w:t>投标文件（正本</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份，副本</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份），文件密封完好。</w:t>
      </w:r>
    </w:p>
    <w:p w14:paraId="2214C93A">
      <w:pPr>
        <w:keepNext w:val="0"/>
        <w:keepLines w:val="0"/>
        <w:pageBreakBefore w:val="0"/>
        <w:widowControl/>
        <w:kinsoku/>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敬请贵司准时出席该项目开标会议，届时在满足开标条件的情况下，我司将对符合密封要求的投标文件当场逐一拆封并进行公开唱标。若贵司未及时派出代表或派出的代表中途离场的，视同对整个开标过程无异议，并不得在开标会后以“文件密封、标记和递交，投标报价、开标记录”等整个开标过程中的任何环节提出异议或要求。</w:t>
      </w:r>
    </w:p>
    <w:p w14:paraId="1D58DD25">
      <w:pPr>
        <w:keepNext w:val="0"/>
        <w:keepLines w:val="0"/>
        <w:pageBreakBefore w:val="0"/>
        <w:widowControl/>
        <w:kinsoku/>
        <w:overflowPunct/>
        <w:topLinePunct w:val="0"/>
        <w:autoSpaceDE/>
        <w:autoSpaceDN/>
        <w:bidi w:val="0"/>
        <w:spacing w:before="0" w:beforeAutospacing="0" w:after="0" w:afterAutospacing="0" w:line="360" w:lineRule="auto"/>
        <w:ind w:firstLine="482" w:firstLineChars="200"/>
        <w:textAlignment w:val="auto"/>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rPr>
        <w:t>投标文件接收单位：</w:t>
      </w:r>
      <w:r>
        <w:rPr>
          <w:rFonts w:hint="eastAsia" w:ascii="宋体" w:hAnsi="宋体" w:eastAsia="宋体" w:cs="宋体"/>
          <w:bCs/>
          <w:color w:val="auto"/>
          <w:kern w:val="0"/>
          <w:sz w:val="24"/>
          <w:szCs w:val="24"/>
          <w:highlight w:val="none"/>
        </w:rPr>
        <w:t>福建立勤项目管理有限公司</w:t>
      </w:r>
    </w:p>
    <w:p w14:paraId="3F0AAC27">
      <w:pPr>
        <w:keepNext w:val="0"/>
        <w:keepLines w:val="0"/>
        <w:pageBreakBefore w:val="0"/>
        <w:widowControl/>
        <w:kinsoku/>
        <w:overflowPunct/>
        <w:topLinePunct w:val="0"/>
        <w:autoSpaceDE/>
        <w:autoSpaceDN/>
        <w:bidi w:val="0"/>
        <w:spacing w:before="0" w:beforeAutospacing="0" w:after="0" w:afterAutospacing="0"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投标文件接收人：                    投标文件接收时间：</w:t>
      </w:r>
    </w:p>
    <w:p w14:paraId="40F6CCEE">
      <w:pPr>
        <w:keepNext w:val="0"/>
        <w:keepLines w:val="0"/>
        <w:pageBreakBefore w:val="0"/>
        <w:widowControl/>
        <w:kinsoku/>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bCs/>
          <w:color w:val="auto"/>
          <w:kern w:val="0"/>
          <w:sz w:val="24"/>
          <w:szCs w:val="24"/>
          <w:highlight w:val="none"/>
        </w:rPr>
      </w:pPr>
    </w:p>
    <w:p w14:paraId="0AD04B62">
      <w:pPr>
        <w:keepNext w:val="0"/>
        <w:keepLines w:val="0"/>
        <w:pageBreakBefore w:val="0"/>
        <w:widowControl/>
        <w:kinsoku/>
        <w:overflowPunct/>
        <w:topLinePunct w:val="0"/>
        <w:autoSpaceDE/>
        <w:autoSpaceDN/>
        <w:bidi w:val="0"/>
        <w:spacing w:before="0" w:beforeAutospacing="0" w:after="0" w:afterAutospacing="0"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（提醒：未在投标文件截止当日要求出具该回执的，视为放弃领取。如需出具回执，请投标人按照此格式要求提前准备，连同投标文件一同交于接收人。）</w:t>
      </w:r>
    </w:p>
    <w:p w14:paraId="05428D41">
      <w:pPr>
        <w:keepNext w:val="0"/>
        <w:keepLines w:val="0"/>
        <w:pageBreakBefore w:val="0"/>
        <w:widowControl/>
        <w:kinsoku/>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质疑函范本</w:t>
      </w:r>
    </w:p>
    <w:p w14:paraId="2A959C0B">
      <w:pPr>
        <w:keepNext w:val="0"/>
        <w:keepLines w:val="0"/>
        <w:pageBreakBefore w:val="0"/>
        <w:widowControl/>
        <w:kinsoku/>
        <w:overflowPunct/>
        <w:topLinePunct w:val="0"/>
        <w:autoSpaceDE/>
        <w:autoSpaceDN/>
        <w:bidi w:val="0"/>
        <w:adjustRightInd w:val="0"/>
        <w:snapToGrid w:val="0"/>
        <w:spacing w:before="0" w:beforeLines="-2147483648" w:beforeAutospacing="0" w:after="0" w:afterAutospacing="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3CA45A5F">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p>
    <w:p w14:paraId="70CF8E5C">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邮编：</w:t>
      </w:r>
    </w:p>
    <w:p w14:paraId="1A65601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p>
    <w:p w14:paraId="57D16BED">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p>
    <w:p w14:paraId="11935E5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2DAC79C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邮编：</w:t>
      </w:r>
    </w:p>
    <w:p w14:paraId="24F6DD7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电子邮箱：                  </w:t>
      </w:r>
    </w:p>
    <w:p w14:paraId="507B4D8C">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1E55DC3">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BF896D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包号：</w:t>
      </w:r>
    </w:p>
    <w:p w14:paraId="2D4F9F4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p>
    <w:p w14:paraId="6AE6B0D1">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p>
    <w:p w14:paraId="6FA9061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951F46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p>
    <w:p w14:paraId="7AA1011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p>
    <w:p w14:paraId="100FA96C">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p>
    <w:p w14:paraId="79B8E87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p>
    <w:p w14:paraId="4C34F296">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p>
    <w:p w14:paraId="3093D608">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5B97D64">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580B4D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4061B7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请求：                                               </w:t>
      </w:r>
    </w:p>
    <w:p w14:paraId="7C8D4F3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0260F67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47E3C2">
      <w:pPr>
        <w:pStyle w:val="30"/>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highlight w:val="none"/>
        </w:rPr>
      </w:pPr>
    </w:p>
    <w:sectPr>
      <w:footerReference r:id="rId4"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altName w:val="Calibri"/>
    <w:panose1 w:val="020F0302020204030204"/>
    <w:charset w:val="00"/>
    <w:family w:val="swiss"/>
    <w:pitch w:val="default"/>
    <w:sig w:usb0="00000000" w:usb1="00000000" w:usb2="00000009" w:usb3="00000000" w:csb0="200001F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313889"/>
    </w:sdtPr>
    <w:sdtContent>
      <w:p w14:paraId="437A461F">
        <w:pPr>
          <w:pStyle w:val="14"/>
          <w:jc w:val="center"/>
          <w:rPr>
            <w:rFonts w:hint="eastAsia" w:eastAsia="微软雅黑"/>
            <w:lang w:eastAsia="zh-CN"/>
          </w:rPr>
        </w:pPr>
        <w:r>
          <w:fldChar w:fldCharType="begin"/>
        </w:r>
        <w:r>
          <w:instrText xml:space="preserve">PAGE   \* MERGEFORMAT</w:instrText>
        </w:r>
        <w:r>
          <w:fldChar w:fldCharType="separate"/>
        </w:r>
        <w:r>
          <w:t>86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3BEFC"/>
    <w:multiLevelType w:val="singleLevel"/>
    <w:tmpl w:val="C5E3BEFC"/>
    <w:lvl w:ilvl="0" w:tentative="0">
      <w:start w:val="18"/>
      <w:numFmt w:val="chineseCounting"/>
      <w:suff w:val="nothing"/>
      <w:lvlText w:val="%1、"/>
      <w:lvlJc w:val="left"/>
      <w:rPr>
        <w:rFonts w:hint="eastAsia"/>
      </w:rPr>
    </w:lvl>
  </w:abstractNum>
  <w:abstractNum w:abstractNumId="1">
    <w:nsid w:val="0C9A3AF1"/>
    <w:multiLevelType w:val="singleLevel"/>
    <w:tmpl w:val="0C9A3AF1"/>
    <w:lvl w:ilvl="0" w:tentative="0">
      <w:start w:val="1"/>
      <w:numFmt w:val="decimal"/>
      <w:lvlText w:val="%1."/>
      <w:lvlJc w:val="left"/>
      <w:pPr>
        <w:ind w:left="425" w:hanging="425"/>
      </w:pPr>
      <w:rPr>
        <w:rFonts w:hint="default"/>
      </w:rPr>
    </w:lvl>
  </w:abstractNum>
  <w:abstractNum w:abstractNumId="2">
    <w:nsid w:val="15585FEA"/>
    <w:multiLevelType w:val="singleLevel"/>
    <w:tmpl w:val="15585FEA"/>
    <w:lvl w:ilvl="0" w:tentative="0">
      <w:start w:val="1"/>
      <w:numFmt w:val="decimal"/>
      <w:suff w:val="space"/>
      <w:lvlText w:val="%1."/>
      <w:lvlJc w:val="left"/>
    </w:lvl>
  </w:abstractNum>
  <w:abstractNum w:abstractNumId="3">
    <w:nsid w:val="2E1B7D8E"/>
    <w:multiLevelType w:val="multilevel"/>
    <w:tmpl w:val="2E1B7D8E"/>
    <w:lvl w:ilvl="0" w:tentative="0">
      <w:start w:val="1"/>
      <w:numFmt w:val="chineseCountingThousand"/>
      <w:suff w:val="nothing"/>
      <w:lvlText w:val="%1、"/>
      <w:lvlJc w:val="left"/>
      <w:pPr>
        <w:ind w:left="0" w:firstLine="0"/>
      </w:pPr>
      <w:rPr>
        <w:rFonts w:hint="eastAsia"/>
      </w:rPr>
    </w:lvl>
    <w:lvl w:ilvl="1" w:tentative="0">
      <w:start w:val="1"/>
      <w:numFmt w:val="chineseCountingThousand"/>
      <w:pStyle w:val="4"/>
      <w:suff w:val="nothing"/>
      <w:lvlText w:val="（%2）"/>
      <w:lvlJc w:val="left"/>
      <w:pPr>
        <w:ind w:left="1560" w:firstLine="0"/>
      </w:pPr>
      <w:rPr>
        <w:rFonts w:hint="eastAsia"/>
      </w:rPr>
    </w:lvl>
    <w:lvl w:ilvl="2" w:tentative="0">
      <w:start w:val="1"/>
      <w:numFmt w:val="decimal"/>
      <w:pStyle w:val="5"/>
      <w:suff w:val="nothing"/>
      <w:lvlText w:val="%3、"/>
      <w:lvlJc w:val="left"/>
      <w:pPr>
        <w:ind w:left="71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FCA0109"/>
    <w:multiLevelType w:val="singleLevel"/>
    <w:tmpl w:val="2FCA0109"/>
    <w:lvl w:ilvl="0" w:tentative="0">
      <w:start w:val="3"/>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OTJlZjE1NDFiZTdlNDEzMmU2MGY3ZTgyOWMzMzAifQ=="/>
  </w:docVars>
  <w:rsids>
    <w:rsidRoot w:val="53B52B8D"/>
    <w:rsid w:val="00036E1A"/>
    <w:rsid w:val="00041A3C"/>
    <w:rsid w:val="000A5230"/>
    <w:rsid w:val="000B3A22"/>
    <w:rsid w:val="000F417F"/>
    <w:rsid w:val="00101F4F"/>
    <w:rsid w:val="0011392E"/>
    <w:rsid w:val="0011799E"/>
    <w:rsid w:val="00153161"/>
    <w:rsid w:val="001A45EB"/>
    <w:rsid w:val="001F6D8A"/>
    <w:rsid w:val="00216347"/>
    <w:rsid w:val="00283913"/>
    <w:rsid w:val="00360E24"/>
    <w:rsid w:val="003D53D2"/>
    <w:rsid w:val="004B5E8B"/>
    <w:rsid w:val="004C1A0C"/>
    <w:rsid w:val="004C72B7"/>
    <w:rsid w:val="00520CD8"/>
    <w:rsid w:val="00556AF4"/>
    <w:rsid w:val="005A7589"/>
    <w:rsid w:val="005F23D8"/>
    <w:rsid w:val="00602FF8"/>
    <w:rsid w:val="006238BD"/>
    <w:rsid w:val="00647480"/>
    <w:rsid w:val="006C2243"/>
    <w:rsid w:val="006E1978"/>
    <w:rsid w:val="00710227"/>
    <w:rsid w:val="00756ACA"/>
    <w:rsid w:val="0079050D"/>
    <w:rsid w:val="007D4A2A"/>
    <w:rsid w:val="00812239"/>
    <w:rsid w:val="0082015A"/>
    <w:rsid w:val="00843963"/>
    <w:rsid w:val="009234ED"/>
    <w:rsid w:val="00990C08"/>
    <w:rsid w:val="009D5C5D"/>
    <w:rsid w:val="009D738F"/>
    <w:rsid w:val="009F4601"/>
    <w:rsid w:val="00A30C48"/>
    <w:rsid w:val="00A328B9"/>
    <w:rsid w:val="00A575D9"/>
    <w:rsid w:val="00BC15CD"/>
    <w:rsid w:val="00C0539E"/>
    <w:rsid w:val="00C4228D"/>
    <w:rsid w:val="00C96A1A"/>
    <w:rsid w:val="00CB01A2"/>
    <w:rsid w:val="00D56C80"/>
    <w:rsid w:val="00D80366"/>
    <w:rsid w:val="00DA7128"/>
    <w:rsid w:val="00DC56A8"/>
    <w:rsid w:val="00DE3DEF"/>
    <w:rsid w:val="00E418A6"/>
    <w:rsid w:val="00ED6CB2"/>
    <w:rsid w:val="00FB00B1"/>
    <w:rsid w:val="00FF01AF"/>
    <w:rsid w:val="017C4743"/>
    <w:rsid w:val="017C552F"/>
    <w:rsid w:val="019F41BD"/>
    <w:rsid w:val="01D13D08"/>
    <w:rsid w:val="020B3CC4"/>
    <w:rsid w:val="022C2863"/>
    <w:rsid w:val="02E62FD5"/>
    <w:rsid w:val="03011BBD"/>
    <w:rsid w:val="03C054BF"/>
    <w:rsid w:val="04041D92"/>
    <w:rsid w:val="04122A8D"/>
    <w:rsid w:val="041D2A27"/>
    <w:rsid w:val="043365D3"/>
    <w:rsid w:val="04351B1E"/>
    <w:rsid w:val="043D0469"/>
    <w:rsid w:val="0457183D"/>
    <w:rsid w:val="04577F01"/>
    <w:rsid w:val="04B8484E"/>
    <w:rsid w:val="04BA5396"/>
    <w:rsid w:val="05034B99"/>
    <w:rsid w:val="050E411D"/>
    <w:rsid w:val="05722771"/>
    <w:rsid w:val="05755435"/>
    <w:rsid w:val="057C19CF"/>
    <w:rsid w:val="061732E0"/>
    <w:rsid w:val="06496371"/>
    <w:rsid w:val="06D06A1D"/>
    <w:rsid w:val="077E1F2B"/>
    <w:rsid w:val="07A00D8B"/>
    <w:rsid w:val="07DC70A0"/>
    <w:rsid w:val="07F855BF"/>
    <w:rsid w:val="083F4578"/>
    <w:rsid w:val="08585731"/>
    <w:rsid w:val="089B201D"/>
    <w:rsid w:val="08FE0E5E"/>
    <w:rsid w:val="092100D6"/>
    <w:rsid w:val="094C0EA6"/>
    <w:rsid w:val="09776E00"/>
    <w:rsid w:val="09A061CD"/>
    <w:rsid w:val="09AD2157"/>
    <w:rsid w:val="09EC51DB"/>
    <w:rsid w:val="0A352E3B"/>
    <w:rsid w:val="0A3545BB"/>
    <w:rsid w:val="0A4D4BA7"/>
    <w:rsid w:val="0AA27E70"/>
    <w:rsid w:val="0AD02CAE"/>
    <w:rsid w:val="0B16508E"/>
    <w:rsid w:val="0B8F53F2"/>
    <w:rsid w:val="0BB67240"/>
    <w:rsid w:val="0C286919"/>
    <w:rsid w:val="0C3C3C66"/>
    <w:rsid w:val="0C502D05"/>
    <w:rsid w:val="0C5C5A5A"/>
    <w:rsid w:val="0C6B3900"/>
    <w:rsid w:val="0C803B53"/>
    <w:rsid w:val="0CC873DB"/>
    <w:rsid w:val="0D584888"/>
    <w:rsid w:val="0D5B011C"/>
    <w:rsid w:val="0D6B035F"/>
    <w:rsid w:val="0E1327A4"/>
    <w:rsid w:val="0E353E98"/>
    <w:rsid w:val="0E5D1762"/>
    <w:rsid w:val="0E816E60"/>
    <w:rsid w:val="0E8E46F1"/>
    <w:rsid w:val="0E910299"/>
    <w:rsid w:val="0EA75449"/>
    <w:rsid w:val="0EDD1E94"/>
    <w:rsid w:val="0EED35A9"/>
    <w:rsid w:val="0F1D546B"/>
    <w:rsid w:val="0F3B0668"/>
    <w:rsid w:val="0FA35620"/>
    <w:rsid w:val="10437371"/>
    <w:rsid w:val="104E5D16"/>
    <w:rsid w:val="105570A4"/>
    <w:rsid w:val="1074577C"/>
    <w:rsid w:val="109C4048"/>
    <w:rsid w:val="10C925BF"/>
    <w:rsid w:val="10DF0651"/>
    <w:rsid w:val="10E20B17"/>
    <w:rsid w:val="10ED010F"/>
    <w:rsid w:val="110E6E77"/>
    <w:rsid w:val="111455A8"/>
    <w:rsid w:val="11481931"/>
    <w:rsid w:val="11A9086D"/>
    <w:rsid w:val="11AF19EF"/>
    <w:rsid w:val="11C24A6F"/>
    <w:rsid w:val="11D708DB"/>
    <w:rsid w:val="121F180B"/>
    <w:rsid w:val="12273B86"/>
    <w:rsid w:val="122D6F9E"/>
    <w:rsid w:val="123E59B5"/>
    <w:rsid w:val="124C3245"/>
    <w:rsid w:val="127615AA"/>
    <w:rsid w:val="127C0C08"/>
    <w:rsid w:val="12894638"/>
    <w:rsid w:val="12D61973"/>
    <w:rsid w:val="12E43559"/>
    <w:rsid w:val="13107A23"/>
    <w:rsid w:val="13252E99"/>
    <w:rsid w:val="13581774"/>
    <w:rsid w:val="137D3E3D"/>
    <w:rsid w:val="13AE369B"/>
    <w:rsid w:val="13CA0FF8"/>
    <w:rsid w:val="13EA6CE5"/>
    <w:rsid w:val="14301E78"/>
    <w:rsid w:val="14354521"/>
    <w:rsid w:val="14597000"/>
    <w:rsid w:val="149E1FC7"/>
    <w:rsid w:val="14AD74AF"/>
    <w:rsid w:val="14C67C4F"/>
    <w:rsid w:val="150C4E5F"/>
    <w:rsid w:val="150C68CB"/>
    <w:rsid w:val="154716B1"/>
    <w:rsid w:val="15601E59"/>
    <w:rsid w:val="15645737"/>
    <w:rsid w:val="157B3EA3"/>
    <w:rsid w:val="15A765BB"/>
    <w:rsid w:val="15C80049"/>
    <w:rsid w:val="16104199"/>
    <w:rsid w:val="161646B3"/>
    <w:rsid w:val="161A4955"/>
    <w:rsid w:val="16405E51"/>
    <w:rsid w:val="168231F0"/>
    <w:rsid w:val="16DA7B78"/>
    <w:rsid w:val="16F75418"/>
    <w:rsid w:val="16FA7D55"/>
    <w:rsid w:val="171C17A0"/>
    <w:rsid w:val="172C70BD"/>
    <w:rsid w:val="17777180"/>
    <w:rsid w:val="177F50ED"/>
    <w:rsid w:val="1786440C"/>
    <w:rsid w:val="189146F7"/>
    <w:rsid w:val="18CF2C0D"/>
    <w:rsid w:val="18E62EA4"/>
    <w:rsid w:val="18F71640"/>
    <w:rsid w:val="1904643D"/>
    <w:rsid w:val="19062AE9"/>
    <w:rsid w:val="1954439D"/>
    <w:rsid w:val="1987337A"/>
    <w:rsid w:val="19A277FE"/>
    <w:rsid w:val="19AE5A2B"/>
    <w:rsid w:val="19B64241"/>
    <w:rsid w:val="1A0758B3"/>
    <w:rsid w:val="1A1E0D00"/>
    <w:rsid w:val="1A2F6BB8"/>
    <w:rsid w:val="1A870DDD"/>
    <w:rsid w:val="1AE86F1A"/>
    <w:rsid w:val="1AF000F5"/>
    <w:rsid w:val="1AF07A25"/>
    <w:rsid w:val="1B1A0BD3"/>
    <w:rsid w:val="1B3407E3"/>
    <w:rsid w:val="1B60080B"/>
    <w:rsid w:val="1BCC16EF"/>
    <w:rsid w:val="1BD10A27"/>
    <w:rsid w:val="1C0D625E"/>
    <w:rsid w:val="1C2D502B"/>
    <w:rsid w:val="1C324773"/>
    <w:rsid w:val="1CB2172E"/>
    <w:rsid w:val="1CB55E92"/>
    <w:rsid w:val="1CB67DE5"/>
    <w:rsid w:val="1CBB1081"/>
    <w:rsid w:val="1CC44C12"/>
    <w:rsid w:val="1D314C04"/>
    <w:rsid w:val="1D55497D"/>
    <w:rsid w:val="1D596764"/>
    <w:rsid w:val="1D975242"/>
    <w:rsid w:val="1DBB6FE3"/>
    <w:rsid w:val="1DDF4451"/>
    <w:rsid w:val="1DE40133"/>
    <w:rsid w:val="1DE507D7"/>
    <w:rsid w:val="1E2179CD"/>
    <w:rsid w:val="1E546940"/>
    <w:rsid w:val="1E624D7D"/>
    <w:rsid w:val="1EDC5972"/>
    <w:rsid w:val="1F214F52"/>
    <w:rsid w:val="1F613FCB"/>
    <w:rsid w:val="1F7A2CD4"/>
    <w:rsid w:val="1FF94191"/>
    <w:rsid w:val="20480747"/>
    <w:rsid w:val="204F4311"/>
    <w:rsid w:val="20686639"/>
    <w:rsid w:val="20833EE1"/>
    <w:rsid w:val="20B9288D"/>
    <w:rsid w:val="20C7005C"/>
    <w:rsid w:val="214423F2"/>
    <w:rsid w:val="21914592"/>
    <w:rsid w:val="21E3662D"/>
    <w:rsid w:val="22326F83"/>
    <w:rsid w:val="22995056"/>
    <w:rsid w:val="22B10AB2"/>
    <w:rsid w:val="22B37179"/>
    <w:rsid w:val="23072480"/>
    <w:rsid w:val="230F7688"/>
    <w:rsid w:val="2318522D"/>
    <w:rsid w:val="23270D74"/>
    <w:rsid w:val="2377175E"/>
    <w:rsid w:val="240A6118"/>
    <w:rsid w:val="2428111D"/>
    <w:rsid w:val="243453F2"/>
    <w:rsid w:val="24742C0B"/>
    <w:rsid w:val="24B6092B"/>
    <w:rsid w:val="251C777B"/>
    <w:rsid w:val="25733DFD"/>
    <w:rsid w:val="25B6018D"/>
    <w:rsid w:val="25D2237E"/>
    <w:rsid w:val="25F71631"/>
    <w:rsid w:val="2618019A"/>
    <w:rsid w:val="26413EFB"/>
    <w:rsid w:val="26520633"/>
    <w:rsid w:val="266713C0"/>
    <w:rsid w:val="267964AE"/>
    <w:rsid w:val="267C18B2"/>
    <w:rsid w:val="268E5BE2"/>
    <w:rsid w:val="26B113D9"/>
    <w:rsid w:val="26CE39DD"/>
    <w:rsid w:val="270A6AEC"/>
    <w:rsid w:val="275F1DAD"/>
    <w:rsid w:val="28460DF5"/>
    <w:rsid w:val="28FF3D66"/>
    <w:rsid w:val="29266804"/>
    <w:rsid w:val="297C418B"/>
    <w:rsid w:val="29B175E9"/>
    <w:rsid w:val="29C94933"/>
    <w:rsid w:val="29CA2F90"/>
    <w:rsid w:val="2A2174BE"/>
    <w:rsid w:val="2AA67DD1"/>
    <w:rsid w:val="2B4D50F0"/>
    <w:rsid w:val="2B700F78"/>
    <w:rsid w:val="2C4E7372"/>
    <w:rsid w:val="2C850680"/>
    <w:rsid w:val="2C9C61E9"/>
    <w:rsid w:val="2CFC261D"/>
    <w:rsid w:val="2D200D0E"/>
    <w:rsid w:val="2D2105E2"/>
    <w:rsid w:val="2DC64252"/>
    <w:rsid w:val="2E045F3A"/>
    <w:rsid w:val="2E14649A"/>
    <w:rsid w:val="2E245615"/>
    <w:rsid w:val="2E4F0CC4"/>
    <w:rsid w:val="2E793DAD"/>
    <w:rsid w:val="2F50438E"/>
    <w:rsid w:val="2F7753A4"/>
    <w:rsid w:val="2F8F3BE0"/>
    <w:rsid w:val="2F936029"/>
    <w:rsid w:val="2FB853F7"/>
    <w:rsid w:val="301E2F1D"/>
    <w:rsid w:val="302202B4"/>
    <w:rsid w:val="302A5E34"/>
    <w:rsid w:val="30342863"/>
    <w:rsid w:val="30347AAA"/>
    <w:rsid w:val="304728C7"/>
    <w:rsid w:val="30550CCF"/>
    <w:rsid w:val="30616A9B"/>
    <w:rsid w:val="30BC2494"/>
    <w:rsid w:val="316A28D5"/>
    <w:rsid w:val="31B37593"/>
    <w:rsid w:val="31C46918"/>
    <w:rsid w:val="31DE59B0"/>
    <w:rsid w:val="31EF7E1E"/>
    <w:rsid w:val="32384596"/>
    <w:rsid w:val="323F4AB0"/>
    <w:rsid w:val="324479E0"/>
    <w:rsid w:val="325C25B0"/>
    <w:rsid w:val="326042E7"/>
    <w:rsid w:val="327176CD"/>
    <w:rsid w:val="32747B88"/>
    <w:rsid w:val="327D3E15"/>
    <w:rsid w:val="327D450D"/>
    <w:rsid w:val="32C043F9"/>
    <w:rsid w:val="32D0288E"/>
    <w:rsid w:val="32E40440"/>
    <w:rsid w:val="32FF3174"/>
    <w:rsid w:val="330469DC"/>
    <w:rsid w:val="33676199"/>
    <w:rsid w:val="33A04162"/>
    <w:rsid w:val="33AE0A17"/>
    <w:rsid w:val="33E30AC8"/>
    <w:rsid w:val="34394463"/>
    <w:rsid w:val="34AC18C3"/>
    <w:rsid w:val="34C74F7D"/>
    <w:rsid w:val="357C0AAC"/>
    <w:rsid w:val="35965B42"/>
    <w:rsid w:val="35AF0B98"/>
    <w:rsid w:val="35E42FF9"/>
    <w:rsid w:val="36181F08"/>
    <w:rsid w:val="36294BCE"/>
    <w:rsid w:val="36541A28"/>
    <w:rsid w:val="36596020"/>
    <w:rsid w:val="36A4650C"/>
    <w:rsid w:val="36A81E3E"/>
    <w:rsid w:val="36E2616E"/>
    <w:rsid w:val="36ED1558"/>
    <w:rsid w:val="373E1B07"/>
    <w:rsid w:val="374D4804"/>
    <w:rsid w:val="37501110"/>
    <w:rsid w:val="378202B6"/>
    <w:rsid w:val="37905D65"/>
    <w:rsid w:val="37A3166C"/>
    <w:rsid w:val="37CB2545"/>
    <w:rsid w:val="37E504E2"/>
    <w:rsid w:val="37EB7CF5"/>
    <w:rsid w:val="37F12AC9"/>
    <w:rsid w:val="38077679"/>
    <w:rsid w:val="38537594"/>
    <w:rsid w:val="38682859"/>
    <w:rsid w:val="38A230F7"/>
    <w:rsid w:val="38CE5AC2"/>
    <w:rsid w:val="38DF5FF4"/>
    <w:rsid w:val="38ED44C0"/>
    <w:rsid w:val="38FE5796"/>
    <w:rsid w:val="396B6CAD"/>
    <w:rsid w:val="39AE326A"/>
    <w:rsid w:val="39B11B70"/>
    <w:rsid w:val="3A242C8F"/>
    <w:rsid w:val="3A2564DB"/>
    <w:rsid w:val="3A265CF7"/>
    <w:rsid w:val="3A6E6813"/>
    <w:rsid w:val="3A712C8B"/>
    <w:rsid w:val="3A7C306B"/>
    <w:rsid w:val="3AB82F15"/>
    <w:rsid w:val="3AD50371"/>
    <w:rsid w:val="3B0D0576"/>
    <w:rsid w:val="3B11095F"/>
    <w:rsid w:val="3B151F64"/>
    <w:rsid w:val="3B4548F5"/>
    <w:rsid w:val="3B60339D"/>
    <w:rsid w:val="3BB02646"/>
    <w:rsid w:val="3BDD6CE9"/>
    <w:rsid w:val="3BDF26D4"/>
    <w:rsid w:val="3C706E90"/>
    <w:rsid w:val="3CB7243C"/>
    <w:rsid w:val="3CC8423E"/>
    <w:rsid w:val="3CCF66E3"/>
    <w:rsid w:val="3D2008B6"/>
    <w:rsid w:val="3D5A57F0"/>
    <w:rsid w:val="3D8B14FA"/>
    <w:rsid w:val="3D90121D"/>
    <w:rsid w:val="3D911531"/>
    <w:rsid w:val="3D94447E"/>
    <w:rsid w:val="3DD314BA"/>
    <w:rsid w:val="3DE52CA9"/>
    <w:rsid w:val="3E3A6758"/>
    <w:rsid w:val="3E44045A"/>
    <w:rsid w:val="3E463D9C"/>
    <w:rsid w:val="3F041FDB"/>
    <w:rsid w:val="3F0D09C6"/>
    <w:rsid w:val="3F26737E"/>
    <w:rsid w:val="3F2B78D1"/>
    <w:rsid w:val="3F5C27C2"/>
    <w:rsid w:val="3F7E10F3"/>
    <w:rsid w:val="3F850674"/>
    <w:rsid w:val="3F966069"/>
    <w:rsid w:val="3FAA64EF"/>
    <w:rsid w:val="3FD75269"/>
    <w:rsid w:val="3FFA142D"/>
    <w:rsid w:val="400A3F23"/>
    <w:rsid w:val="401B4D69"/>
    <w:rsid w:val="40712EDE"/>
    <w:rsid w:val="40896772"/>
    <w:rsid w:val="40C81AA1"/>
    <w:rsid w:val="40DB1B31"/>
    <w:rsid w:val="40DC2889"/>
    <w:rsid w:val="411F78B8"/>
    <w:rsid w:val="413D1A37"/>
    <w:rsid w:val="415E7CDD"/>
    <w:rsid w:val="416A7DB7"/>
    <w:rsid w:val="41B909D0"/>
    <w:rsid w:val="41BE605B"/>
    <w:rsid w:val="42007A8C"/>
    <w:rsid w:val="4236647D"/>
    <w:rsid w:val="42C15A41"/>
    <w:rsid w:val="43146206"/>
    <w:rsid w:val="43420A61"/>
    <w:rsid w:val="435C3CCA"/>
    <w:rsid w:val="439C0B79"/>
    <w:rsid w:val="43B35A16"/>
    <w:rsid w:val="43CA6132"/>
    <w:rsid w:val="43EB701F"/>
    <w:rsid w:val="43F25F69"/>
    <w:rsid w:val="43F839F3"/>
    <w:rsid w:val="44900E77"/>
    <w:rsid w:val="44E813CB"/>
    <w:rsid w:val="44F05012"/>
    <w:rsid w:val="44F7014F"/>
    <w:rsid w:val="45177A4F"/>
    <w:rsid w:val="451E5A29"/>
    <w:rsid w:val="45605CF4"/>
    <w:rsid w:val="4561508E"/>
    <w:rsid w:val="45992877"/>
    <w:rsid w:val="459D6275"/>
    <w:rsid w:val="45A831F7"/>
    <w:rsid w:val="45CA00F8"/>
    <w:rsid w:val="45FE4346"/>
    <w:rsid w:val="46251B03"/>
    <w:rsid w:val="464C41E4"/>
    <w:rsid w:val="466534DE"/>
    <w:rsid w:val="46AB4764"/>
    <w:rsid w:val="46D30AA3"/>
    <w:rsid w:val="470E1780"/>
    <w:rsid w:val="47696CDC"/>
    <w:rsid w:val="479D7E21"/>
    <w:rsid w:val="47A520E4"/>
    <w:rsid w:val="47B1013D"/>
    <w:rsid w:val="47C652E9"/>
    <w:rsid w:val="480A1F47"/>
    <w:rsid w:val="481467AA"/>
    <w:rsid w:val="482B1D2A"/>
    <w:rsid w:val="48434540"/>
    <w:rsid w:val="488D63D1"/>
    <w:rsid w:val="48A675D5"/>
    <w:rsid w:val="48B3370E"/>
    <w:rsid w:val="48CA0296"/>
    <w:rsid w:val="49035EBE"/>
    <w:rsid w:val="490730F8"/>
    <w:rsid w:val="49156DF5"/>
    <w:rsid w:val="492876CF"/>
    <w:rsid w:val="4961028C"/>
    <w:rsid w:val="49997298"/>
    <w:rsid w:val="49A3613B"/>
    <w:rsid w:val="49B157B8"/>
    <w:rsid w:val="49C7050B"/>
    <w:rsid w:val="49C95C86"/>
    <w:rsid w:val="49EE703D"/>
    <w:rsid w:val="4A0333C5"/>
    <w:rsid w:val="4A0763BD"/>
    <w:rsid w:val="4A4B5F0E"/>
    <w:rsid w:val="4A584062"/>
    <w:rsid w:val="4A850FCD"/>
    <w:rsid w:val="4A8E6560"/>
    <w:rsid w:val="4B260185"/>
    <w:rsid w:val="4B8321D3"/>
    <w:rsid w:val="4B8C101E"/>
    <w:rsid w:val="4BD60DDC"/>
    <w:rsid w:val="4C362830"/>
    <w:rsid w:val="4C54631F"/>
    <w:rsid w:val="4C812022"/>
    <w:rsid w:val="4C9F0971"/>
    <w:rsid w:val="4CCD63B5"/>
    <w:rsid w:val="4CDB27A8"/>
    <w:rsid w:val="4D0178B6"/>
    <w:rsid w:val="4D2E698E"/>
    <w:rsid w:val="4D3A323B"/>
    <w:rsid w:val="4D3B3C79"/>
    <w:rsid w:val="4D45233D"/>
    <w:rsid w:val="4D73037B"/>
    <w:rsid w:val="4DB60D55"/>
    <w:rsid w:val="4DF8690F"/>
    <w:rsid w:val="4DF92F05"/>
    <w:rsid w:val="4E343064"/>
    <w:rsid w:val="4E8C77F6"/>
    <w:rsid w:val="4E9D27B6"/>
    <w:rsid w:val="4EA529C9"/>
    <w:rsid w:val="4EB4377D"/>
    <w:rsid w:val="4EC96F60"/>
    <w:rsid w:val="4F1B1673"/>
    <w:rsid w:val="4F396EF9"/>
    <w:rsid w:val="4F472EE9"/>
    <w:rsid w:val="4F593967"/>
    <w:rsid w:val="50063693"/>
    <w:rsid w:val="501735B8"/>
    <w:rsid w:val="50AB003F"/>
    <w:rsid w:val="50AC0F2E"/>
    <w:rsid w:val="50C33E6D"/>
    <w:rsid w:val="50C85108"/>
    <w:rsid w:val="50F32112"/>
    <w:rsid w:val="50FB0F11"/>
    <w:rsid w:val="51670C7A"/>
    <w:rsid w:val="517D65D2"/>
    <w:rsid w:val="51847456"/>
    <w:rsid w:val="51A408FB"/>
    <w:rsid w:val="51A748A6"/>
    <w:rsid w:val="51D20A25"/>
    <w:rsid w:val="51E34770"/>
    <w:rsid w:val="51E906D2"/>
    <w:rsid w:val="51FC4FF6"/>
    <w:rsid w:val="520071D4"/>
    <w:rsid w:val="52875071"/>
    <w:rsid w:val="52A64E63"/>
    <w:rsid w:val="52AD214E"/>
    <w:rsid w:val="52C32E44"/>
    <w:rsid w:val="52C92354"/>
    <w:rsid w:val="52E613F3"/>
    <w:rsid w:val="52E936CF"/>
    <w:rsid w:val="53530C46"/>
    <w:rsid w:val="536B2C7B"/>
    <w:rsid w:val="5379313C"/>
    <w:rsid w:val="537E6B82"/>
    <w:rsid w:val="5385388B"/>
    <w:rsid w:val="53933738"/>
    <w:rsid w:val="53B52B8D"/>
    <w:rsid w:val="53EC6E53"/>
    <w:rsid w:val="540B4634"/>
    <w:rsid w:val="547828DB"/>
    <w:rsid w:val="549E7EAE"/>
    <w:rsid w:val="55362FDE"/>
    <w:rsid w:val="553B7BE4"/>
    <w:rsid w:val="55667F22"/>
    <w:rsid w:val="55690C87"/>
    <w:rsid w:val="55C51BA3"/>
    <w:rsid w:val="560D405B"/>
    <w:rsid w:val="56360502"/>
    <w:rsid w:val="56496FAB"/>
    <w:rsid w:val="565A0C20"/>
    <w:rsid w:val="571E5A0F"/>
    <w:rsid w:val="57272354"/>
    <w:rsid w:val="573568B4"/>
    <w:rsid w:val="575B27BF"/>
    <w:rsid w:val="57A43912"/>
    <w:rsid w:val="57C76C91"/>
    <w:rsid w:val="5853228A"/>
    <w:rsid w:val="589F3BEB"/>
    <w:rsid w:val="58CD6543"/>
    <w:rsid w:val="5926524C"/>
    <w:rsid w:val="592E48F5"/>
    <w:rsid w:val="59CB4D9E"/>
    <w:rsid w:val="5A0460B7"/>
    <w:rsid w:val="5A145CE8"/>
    <w:rsid w:val="5A185519"/>
    <w:rsid w:val="5A372256"/>
    <w:rsid w:val="5A564000"/>
    <w:rsid w:val="5A871A80"/>
    <w:rsid w:val="5A9A1D4E"/>
    <w:rsid w:val="5A9B3D9E"/>
    <w:rsid w:val="5AB56902"/>
    <w:rsid w:val="5B1A64EA"/>
    <w:rsid w:val="5B693F70"/>
    <w:rsid w:val="5B7F1F3F"/>
    <w:rsid w:val="5C4F5ACC"/>
    <w:rsid w:val="5CAE553B"/>
    <w:rsid w:val="5CF91C5E"/>
    <w:rsid w:val="5D22404B"/>
    <w:rsid w:val="5D6A7A0B"/>
    <w:rsid w:val="5D8C25C5"/>
    <w:rsid w:val="5D8D2EA4"/>
    <w:rsid w:val="5DD87C99"/>
    <w:rsid w:val="5DE044CB"/>
    <w:rsid w:val="5E0F1994"/>
    <w:rsid w:val="5E2F61C8"/>
    <w:rsid w:val="5E384361"/>
    <w:rsid w:val="5E550AB9"/>
    <w:rsid w:val="5E5F74A5"/>
    <w:rsid w:val="5E6A32E8"/>
    <w:rsid w:val="5E8E4259"/>
    <w:rsid w:val="5E986608"/>
    <w:rsid w:val="5EB16EDF"/>
    <w:rsid w:val="5F082B32"/>
    <w:rsid w:val="5F681D4F"/>
    <w:rsid w:val="5F7206A6"/>
    <w:rsid w:val="5FCA1653"/>
    <w:rsid w:val="600A6182"/>
    <w:rsid w:val="601001FB"/>
    <w:rsid w:val="605B3509"/>
    <w:rsid w:val="606A09CD"/>
    <w:rsid w:val="608E2A70"/>
    <w:rsid w:val="60B93937"/>
    <w:rsid w:val="60E67927"/>
    <w:rsid w:val="611015E4"/>
    <w:rsid w:val="6137480A"/>
    <w:rsid w:val="616E7D49"/>
    <w:rsid w:val="618711B8"/>
    <w:rsid w:val="61896E1F"/>
    <w:rsid w:val="6192328B"/>
    <w:rsid w:val="61C05D58"/>
    <w:rsid w:val="61C34DD7"/>
    <w:rsid w:val="61D03B33"/>
    <w:rsid w:val="61DA2E08"/>
    <w:rsid w:val="622455FD"/>
    <w:rsid w:val="62436329"/>
    <w:rsid w:val="625B11EB"/>
    <w:rsid w:val="626E5007"/>
    <w:rsid w:val="62D9747B"/>
    <w:rsid w:val="63587CA8"/>
    <w:rsid w:val="635F744A"/>
    <w:rsid w:val="63853672"/>
    <w:rsid w:val="63D712CB"/>
    <w:rsid w:val="640A009C"/>
    <w:rsid w:val="64AF1AAA"/>
    <w:rsid w:val="64B853DB"/>
    <w:rsid w:val="64C43464"/>
    <w:rsid w:val="64CB1CF6"/>
    <w:rsid w:val="64CB2BA3"/>
    <w:rsid w:val="64CC5A3E"/>
    <w:rsid w:val="652A557F"/>
    <w:rsid w:val="65717652"/>
    <w:rsid w:val="65845584"/>
    <w:rsid w:val="65A51AFD"/>
    <w:rsid w:val="66340618"/>
    <w:rsid w:val="66345213"/>
    <w:rsid w:val="663C06A4"/>
    <w:rsid w:val="663E7D92"/>
    <w:rsid w:val="66752B21"/>
    <w:rsid w:val="668D72D5"/>
    <w:rsid w:val="66FA654D"/>
    <w:rsid w:val="673A6569"/>
    <w:rsid w:val="67415A58"/>
    <w:rsid w:val="67C93707"/>
    <w:rsid w:val="68132EF5"/>
    <w:rsid w:val="68834F32"/>
    <w:rsid w:val="69EA0EAC"/>
    <w:rsid w:val="6A1F64A3"/>
    <w:rsid w:val="6A9B1AB7"/>
    <w:rsid w:val="6B555575"/>
    <w:rsid w:val="6B6E175C"/>
    <w:rsid w:val="6BBF61A4"/>
    <w:rsid w:val="6BCA4FC6"/>
    <w:rsid w:val="6C0541CD"/>
    <w:rsid w:val="6C133380"/>
    <w:rsid w:val="6C1F1BB5"/>
    <w:rsid w:val="6C3A0673"/>
    <w:rsid w:val="6CC53401"/>
    <w:rsid w:val="6D1B5985"/>
    <w:rsid w:val="6D8D7A5A"/>
    <w:rsid w:val="6D9B2447"/>
    <w:rsid w:val="6D9E2684"/>
    <w:rsid w:val="6DB34024"/>
    <w:rsid w:val="6E3A3306"/>
    <w:rsid w:val="6E625748"/>
    <w:rsid w:val="6E725D1D"/>
    <w:rsid w:val="6E831551"/>
    <w:rsid w:val="6E846C45"/>
    <w:rsid w:val="6EBA476C"/>
    <w:rsid w:val="6EE16CEF"/>
    <w:rsid w:val="6EE3298F"/>
    <w:rsid w:val="6F3040D9"/>
    <w:rsid w:val="6FA64291"/>
    <w:rsid w:val="700139ED"/>
    <w:rsid w:val="70094074"/>
    <w:rsid w:val="702526A8"/>
    <w:rsid w:val="70BA1EAD"/>
    <w:rsid w:val="713030EA"/>
    <w:rsid w:val="71471ED3"/>
    <w:rsid w:val="71835B87"/>
    <w:rsid w:val="718473F2"/>
    <w:rsid w:val="71CB202B"/>
    <w:rsid w:val="71DF6487"/>
    <w:rsid w:val="71E73F43"/>
    <w:rsid w:val="71EE29DB"/>
    <w:rsid w:val="720C3E1B"/>
    <w:rsid w:val="720F2B14"/>
    <w:rsid w:val="724F1464"/>
    <w:rsid w:val="72BE02B9"/>
    <w:rsid w:val="732C7ABE"/>
    <w:rsid w:val="735A2CA9"/>
    <w:rsid w:val="737422BC"/>
    <w:rsid w:val="737547B1"/>
    <w:rsid w:val="73803737"/>
    <w:rsid w:val="738467A2"/>
    <w:rsid w:val="73E21ECA"/>
    <w:rsid w:val="73FE6554"/>
    <w:rsid w:val="743D707D"/>
    <w:rsid w:val="74453A0B"/>
    <w:rsid w:val="748350FA"/>
    <w:rsid w:val="754A06F9"/>
    <w:rsid w:val="75610881"/>
    <w:rsid w:val="75981445"/>
    <w:rsid w:val="75E1612D"/>
    <w:rsid w:val="76354856"/>
    <w:rsid w:val="763E38CD"/>
    <w:rsid w:val="764B0AC9"/>
    <w:rsid w:val="764B632B"/>
    <w:rsid w:val="76A96094"/>
    <w:rsid w:val="76D33CC8"/>
    <w:rsid w:val="770A1C06"/>
    <w:rsid w:val="77674410"/>
    <w:rsid w:val="779D0FE1"/>
    <w:rsid w:val="77F79321"/>
    <w:rsid w:val="78056D71"/>
    <w:rsid w:val="78147085"/>
    <w:rsid w:val="78544104"/>
    <w:rsid w:val="7854734A"/>
    <w:rsid w:val="78BF0096"/>
    <w:rsid w:val="79915775"/>
    <w:rsid w:val="79AF476F"/>
    <w:rsid w:val="79E60C8D"/>
    <w:rsid w:val="7A307C87"/>
    <w:rsid w:val="7A380039"/>
    <w:rsid w:val="7A8F1EE1"/>
    <w:rsid w:val="7A903C7E"/>
    <w:rsid w:val="7A93089A"/>
    <w:rsid w:val="7ABC1A6A"/>
    <w:rsid w:val="7ADB75EF"/>
    <w:rsid w:val="7AE64520"/>
    <w:rsid w:val="7B7974B6"/>
    <w:rsid w:val="7C034A2C"/>
    <w:rsid w:val="7C653614"/>
    <w:rsid w:val="7CBA368E"/>
    <w:rsid w:val="7CCD740C"/>
    <w:rsid w:val="7CE56503"/>
    <w:rsid w:val="7CE60FF7"/>
    <w:rsid w:val="7CEA2559"/>
    <w:rsid w:val="7D20456F"/>
    <w:rsid w:val="7D464CCE"/>
    <w:rsid w:val="7D500D8C"/>
    <w:rsid w:val="7D676E06"/>
    <w:rsid w:val="7D9B3032"/>
    <w:rsid w:val="7E292823"/>
    <w:rsid w:val="7E3379ED"/>
    <w:rsid w:val="7E6F2DC0"/>
    <w:rsid w:val="7E790A0F"/>
    <w:rsid w:val="7EA93299"/>
    <w:rsid w:val="7ECB1729"/>
    <w:rsid w:val="7F003282"/>
    <w:rsid w:val="7F432DCB"/>
    <w:rsid w:val="7F721BA4"/>
    <w:rsid w:val="7F78286E"/>
    <w:rsid w:val="7F863FFD"/>
    <w:rsid w:val="7F9D1317"/>
    <w:rsid w:val="7FD411B6"/>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before="40" w:after="160"/>
    </w:pPr>
    <w:rPr>
      <w:rFonts w:eastAsia="微软雅黑" w:asciiTheme="minorHAnsi" w:hAnsiTheme="minorHAnsi" w:cstheme="minorBidi"/>
      <w:kern w:val="20"/>
      <w:sz w:val="21"/>
      <w:lang w:val="zh-CN" w:eastAsia="zh-CN" w:bidi="ar-SA"/>
    </w:rPr>
  </w:style>
  <w:style w:type="paragraph" w:styleId="3">
    <w:name w:val="heading 1"/>
    <w:basedOn w:val="1"/>
    <w:next w:val="1"/>
    <w:link w:val="32"/>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unhideWhenUsed/>
    <w:qFormat/>
    <w:uiPriority w:val="9"/>
    <w:pPr>
      <w:keepNext/>
      <w:keepLines/>
      <w:numPr>
        <w:ilvl w:val="1"/>
        <w:numId w:val="1"/>
      </w:numPr>
      <w:adjustRightInd w:val="0"/>
      <w:snapToGrid w:val="0"/>
      <w:spacing w:before="260" w:after="260" w:line="360" w:lineRule="auto"/>
      <w:ind w:left="0"/>
      <w:outlineLvl w:val="1"/>
    </w:pPr>
    <w:rPr>
      <w:rFonts w:ascii="Times New Roman" w:hAnsi="Times New Roman" w:eastAsia="黑体" w:cstheme="majorBidi"/>
      <w:b/>
      <w:bCs/>
      <w:sz w:val="30"/>
      <w:szCs w:val="32"/>
    </w:rPr>
  </w:style>
  <w:style w:type="paragraph" w:styleId="5">
    <w:name w:val="heading 3"/>
    <w:basedOn w:val="1"/>
    <w:next w:val="1"/>
    <w:autoRedefine/>
    <w:unhideWhenUsed/>
    <w:qFormat/>
    <w:uiPriority w:val="9"/>
    <w:pPr>
      <w:keepNext/>
      <w:keepLines/>
      <w:numPr>
        <w:ilvl w:val="2"/>
        <w:numId w:val="1"/>
      </w:numPr>
      <w:adjustRightInd w:val="0"/>
      <w:snapToGrid w:val="0"/>
      <w:spacing w:before="240" w:after="240"/>
      <w:ind w:left="0"/>
      <w:outlineLvl w:val="2"/>
    </w:pPr>
    <w:rPr>
      <w:rFonts w:ascii="Times New Roman" w:hAnsi="Times New Roman" w:eastAsia="黑体"/>
      <w:b/>
      <w:bCs/>
      <w:sz w:val="28"/>
      <w:szCs w:val="32"/>
    </w:rPr>
  </w:style>
  <w:style w:type="paragraph" w:styleId="6">
    <w:name w:val="heading 4"/>
    <w:basedOn w:val="1"/>
    <w:next w:val="1"/>
    <w:autoRedefine/>
    <w:qFormat/>
    <w:uiPriority w:val="0"/>
    <w:pPr>
      <w:spacing w:before="100" w:beforeAutospacing="1" w:after="100" w:afterAutospacing="1"/>
      <w:outlineLvl w:val="3"/>
    </w:pPr>
    <w:rPr>
      <w:rFonts w:hint="eastAsia" w:ascii="宋体" w:hAnsi="宋体" w:eastAsia="宋体" w:cs="Times New Roman"/>
      <w:b/>
      <w:bCs/>
      <w:kern w:val="0"/>
      <w:sz w:val="24"/>
      <w:szCs w:val="24"/>
      <w:lang w:val="en-US"/>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
    <w:name w:val="annotation text"/>
    <w:basedOn w:val="1"/>
    <w:autoRedefine/>
    <w:qFormat/>
    <w:uiPriority w:val="0"/>
  </w:style>
  <w:style w:type="paragraph" w:styleId="8">
    <w:name w:val="Body Text Indent"/>
    <w:basedOn w:val="1"/>
    <w:next w:val="9"/>
    <w:autoRedefine/>
    <w:semiHidden/>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autoRedefine/>
    <w:unhideWhenUsed/>
    <w:qFormat/>
    <w:uiPriority w:val="39"/>
    <w:pPr>
      <w:spacing w:before="0" w:after="100" w:line="259" w:lineRule="auto"/>
      <w:ind w:left="440"/>
    </w:pPr>
    <w:rPr>
      <w:rFonts w:cs="Times New Roman" w:eastAsiaTheme="minorEastAsia"/>
      <w:kern w:val="0"/>
      <w:sz w:val="22"/>
      <w:szCs w:val="22"/>
      <w:lang w:val="en-US"/>
    </w:rPr>
  </w:style>
  <w:style w:type="paragraph" w:styleId="11">
    <w:name w:val="Plain Text"/>
    <w:basedOn w:val="1"/>
    <w:qFormat/>
    <w:uiPriority w:val="0"/>
    <w:rPr>
      <w:rFonts w:ascii="宋体" w:hAnsi="Courier New"/>
    </w:rPr>
  </w:style>
  <w:style w:type="paragraph" w:styleId="12">
    <w:name w:val="Date"/>
    <w:basedOn w:val="1"/>
    <w:next w:val="1"/>
    <w:autoRedefine/>
    <w:qFormat/>
    <w:uiPriority w:val="0"/>
    <w:rPr>
      <w:sz w:val="28"/>
    </w:rPr>
  </w:style>
  <w:style w:type="paragraph" w:styleId="13">
    <w:name w:val="Balloon Text"/>
    <w:basedOn w:val="1"/>
    <w:link w:val="33"/>
    <w:autoRedefine/>
    <w:qFormat/>
    <w:uiPriority w:val="0"/>
    <w:pPr>
      <w:spacing w:before="0" w:after="0"/>
    </w:pPr>
    <w:rPr>
      <w:sz w:val="18"/>
      <w:szCs w:val="18"/>
    </w:rPr>
  </w:style>
  <w:style w:type="paragraph" w:styleId="14">
    <w:name w:val="footer"/>
    <w:basedOn w:val="1"/>
    <w:link w:val="36"/>
    <w:autoRedefine/>
    <w:qFormat/>
    <w:uiPriority w:val="99"/>
    <w:pPr>
      <w:tabs>
        <w:tab w:val="center" w:pos="4153"/>
        <w:tab w:val="right" w:pos="8306"/>
      </w:tabs>
      <w:snapToGrid w:val="0"/>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qFormat/>
    <w:uiPriority w:val="39"/>
  </w:style>
  <w:style w:type="paragraph" w:styleId="17">
    <w:name w:val="toc 4"/>
    <w:basedOn w:val="1"/>
    <w:next w:val="1"/>
    <w:autoRedefine/>
    <w:qFormat/>
    <w:uiPriority w:val="39"/>
    <w:pPr>
      <w:ind w:left="1260" w:leftChars="600"/>
    </w:pPr>
  </w:style>
  <w:style w:type="paragraph" w:styleId="18">
    <w:name w:val="Subtitle"/>
    <w:basedOn w:val="1"/>
    <w:next w:val="1"/>
    <w:link w:val="34"/>
    <w:autoRedefine/>
    <w:qFormat/>
    <w:uiPriority w:val="0"/>
    <w:pPr>
      <w:spacing w:before="240" w:after="60" w:line="312" w:lineRule="auto"/>
      <w:jc w:val="center"/>
      <w:outlineLvl w:val="1"/>
    </w:pPr>
    <w:rPr>
      <w:rFonts w:eastAsiaTheme="minorEastAsia"/>
      <w:b/>
      <w:bCs/>
      <w:kern w:val="28"/>
      <w:sz w:val="32"/>
      <w:szCs w:val="32"/>
    </w:rPr>
  </w:style>
  <w:style w:type="paragraph" w:styleId="19">
    <w:name w:val="toc 2"/>
    <w:basedOn w:val="1"/>
    <w:next w:val="1"/>
    <w:autoRedefine/>
    <w:qFormat/>
    <w:uiPriority w:val="39"/>
    <w:pPr>
      <w:ind w:left="420" w:leftChars="200"/>
    </w:pPr>
  </w:style>
  <w:style w:type="paragraph" w:styleId="20">
    <w:name w:val="Normal (Web)"/>
    <w:basedOn w:val="1"/>
    <w:autoRedefine/>
    <w:qFormat/>
    <w:uiPriority w:val="0"/>
    <w:pPr>
      <w:spacing w:before="100" w:beforeAutospacing="1" w:after="100" w:afterAutospacing="1"/>
    </w:pPr>
    <w:rPr>
      <w:rFonts w:cs="Times New Roman"/>
      <w:kern w:val="0"/>
      <w:sz w:val="24"/>
      <w:lang w:val="en-US"/>
    </w:rPr>
  </w:style>
  <w:style w:type="paragraph" w:styleId="21">
    <w:name w:val="Body Text First Indent 2"/>
    <w:basedOn w:val="8"/>
    <w:next w:val="1"/>
    <w:autoRedefine/>
    <w:unhideWhenUsed/>
    <w:qFormat/>
    <w:uiPriority w:val="99"/>
    <w:pPr>
      <w:widowControl w:val="0"/>
      <w:spacing w:before="0"/>
      <w:ind w:firstLine="420" w:firstLineChars="200"/>
      <w:jc w:val="both"/>
    </w:pPr>
    <w:rPr>
      <w:rFonts w:ascii="Calibri" w:hAnsi="Calibri" w:eastAsia="宋体" w:cs="黑体"/>
      <w:kern w:val="2"/>
      <w:szCs w:val="22"/>
      <w:lang w:val="en-US"/>
    </w:rPr>
  </w:style>
  <w:style w:type="table" w:styleId="23">
    <w:name w:val="Table Grid"/>
    <w:basedOn w:val="2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rFonts w:ascii="Tahoma" w:hAnsi="Tahoma"/>
      <w:b/>
      <w:bCs/>
      <w:sz w:val="24"/>
    </w:rPr>
  </w:style>
  <w:style w:type="character" w:styleId="26">
    <w:name w:val="Emphasis"/>
    <w:basedOn w:val="24"/>
    <w:qFormat/>
    <w:uiPriority w:val="0"/>
    <w:rPr>
      <w:i/>
    </w:rPr>
  </w:style>
  <w:style w:type="character" w:styleId="27">
    <w:name w:val="Hyperlink"/>
    <w:basedOn w:val="24"/>
    <w:autoRedefine/>
    <w:unhideWhenUsed/>
    <w:qFormat/>
    <w:uiPriority w:val="99"/>
    <w:rPr>
      <w:color w:val="0563C1" w:themeColor="hyperlink"/>
      <w:u w:val="single"/>
      <w14:textFill>
        <w14:solidFill>
          <w14:schemeClr w14:val="hlink"/>
        </w14:solidFill>
      </w14:textFill>
    </w:rPr>
  </w:style>
  <w:style w:type="character" w:styleId="28">
    <w:name w:val="annotation reference"/>
    <w:basedOn w:val="24"/>
    <w:autoRedefine/>
    <w:qFormat/>
    <w:uiPriority w:val="0"/>
    <w:rPr>
      <w:sz w:val="21"/>
      <w:szCs w:val="21"/>
    </w:rPr>
  </w:style>
  <w:style w:type="paragraph" w:customStyle="1" w:styleId="29">
    <w:name w:val="正文文"/>
    <w:basedOn w:val="1"/>
    <w:autoRedefine/>
    <w:qFormat/>
    <w:uiPriority w:val="0"/>
    <w:pPr>
      <w:adjustRightInd w:val="0"/>
      <w:snapToGrid w:val="0"/>
      <w:spacing w:before="0" w:after="0" w:line="360" w:lineRule="auto"/>
      <w:ind w:firstLine="200" w:firstLineChars="200"/>
      <w:jc w:val="both"/>
    </w:pPr>
    <w:rPr>
      <w:rFonts w:ascii="Times New Roman" w:hAnsi="Times New Roman" w:eastAsia="宋体"/>
      <w:sz w:val="24"/>
    </w:rPr>
  </w:style>
  <w:style w:type="paragraph" w:customStyle="1" w:styleId="30">
    <w:name w:val="null3"/>
    <w:autoRedefine/>
    <w:hidden/>
    <w:qFormat/>
    <w:uiPriority w:val="0"/>
    <w:rPr>
      <w:rFonts w:hint="eastAsia" w:asciiTheme="minorHAnsi" w:hAnsiTheme="minorHAnsi" w:eastAsiaTheme="minorEastAsia" w:cstheme="minorBidi"/>
      <w:lang w:val="en-US" w:eastAsia="zh-CN" w:bidi="ar-SA"/>
    </w:rPr>
  </w:style>
  <w:style w:type="paragraph" w:customStyle="1" w:styleId="31">
    <w:name w:val="样式1"/>
    <w:basedOn w:val="1"/>
    <w:next w:val="1"/>
    <w:autoRedefine/>
    <w:qFormat/>
    <w:uiPriority w:val="0"/>
    <w:pPr>
      <w:keepNext/>
      <w:keepLines/>
      <w:spacing w:before="340" w:after="330" w:line="576" w:lineRule="auto"/>
      <w:outlineLvl w:val="0"/>
    </w:pPr>
    <w:rPr>
      <w:rFonts w:eastAsia="宋体"/>
      <w:kern w:val="44"/>
      <w:sz w:val="36"/>
    </w:rPr>
  </w:style>
  <w:style w:type="character" w:customStyle="1" w:styleId="32">
    <w:name w:val="标题 1 Char"/>
    <w:link w:val="3"/>
    <w:autoRedefine/>
    <w:qFormat/>
    <w:uiPriority w:val="0"/>
    <w:rPr>
      <w:b/>
      <w:kern w:val="44"/>
      <w:sz w:val="44"/>
    </w:rPr>
  </w:style>
  <w:style w:type="character" w:customStyle="1" w:styleId="33">
    <w:name w:val="批注框文本 Char"/>
    <w:basedOn w:val="24"/>
    <w:link w:val="13"/>
    <w:autoRedefine/>
    <w:qFormat/>
    <w:uiPriority w:val="0"/>
    <w:rPr>
      <w:rFonts w:eastAsia="微软雅黑"/>
      <w:kern w:val="20"/>
      <w:sz w:val="18"/>
      <w:szCs w:val="18"/>
      <w:lang w:val="zh-CN"/>
    </w:rPr>
  </w:style>
  <w:style w:type="character" w:customStyle="1" w:styleId="34">
    <w:name w:val="副标题 Char"/>
    <w:basedOn w:val="24"/>
    <w:link w:val="18"/>
    <w:autoRedefine/>
    <w:qFormat/>
    <w:uiPriority w:val="0"/>
    <w:rPr>
      <w:b/>
      <w:bCs/>
      <w:kern w:val="28"/>
      <w:sz w:val="32"/>
      <w:szCs w:val="32"/>
      <w:lang w:val="zh-CN"/>
    </w:rPr>
  </w:style>
  <w:style w:type="paragraph" w:customStyle="1" w:styleId="35">
    <w:name w:val="TOC 标题1"/>
    <w:basedOn w:val="3"/>
    <w:next w:val="1"/>
    <w:autoRedefine/>
    <w:unhideWhenUsed/>
    <w:qFormat/>
    <w:uiPriority w:val="39"/>
    <w:pPr>
      <w:spacing w:before="240" w:after="0" w:line="259" w:lineRule="auto"/>
      <w:outlineLvl w:val="9"/>
    </w:pPr>
    <w:rPr>
      <w:rFonts w:asciiTheme="majorHAnsi" w:hAnsiTheme="majorHAnsi" w:eastAsiaTheme="majorEastAsia" w:cstheme="majorBidi"/>
      <w:b w:val="0"/>
      <w:color w:val="2E75B6" w:themeColor="accent1" w:themeShade="BF"/>
      <w:kern w:val="0"/>
      <w:sz w:val="32"/>
      <w:szCs w:val="32"/>
      <w:lang w:val="en-US"/>
    </w:rPr>
  </w:style>
  <w:style w:type="character" w:customStyle="1" w:styleId="36">
    <w:name w:val="页脚 Char"/>
    <w:basedOn w:val="24"/>
    <w:link w:val="14"/>
    <w:autoRedefine/>
    <w:qFormat/>
    <w:uiPriority w:val="99"/>
    <w:rPr>
      <w:rFonts w:eastAsia="微软雅黑"/>
      <w:kern w:val="20"/>
      <w:sz w:val="18"/>
      <w:lang w:val="zh-CN"/>
    </w:rPr>
  </w:style>
  <w:style w:type="paragraph" w:customStyle="1" w:styleId="37">
    <w:name w:val="标准"/>
    <w:basedOn w:val="1"/>
    <w:autoRedefine/>
    <w:qFormat/>
    <w:uiPriority w:val="0"/>
    <w:pPr>
      <w:spacing w:line="360" w:lineRule="auto"/>
      <w:ind w:firstLine="200" w:firstLineChars="200"/>
    </w:pPr>
    <w:rPr>
      <w:rFonts w:cs="宋体"/>
    </w:rPr>
  </w:style>
  <w:style w:type="paragraph" w:customStyle="1" w:styleId="38">
    <w:name w:val="Fließtext"/>
    <w:basedOn w:val="1"/>
    <w:qFormat/>
    <w:uiPriority w:val="0"/>
    <w:pPr>
      <w:overflowPunct w:val="0"/>
      <w:autoSpaceDE w:val="0"/>
      <w:autoSpaceDN w:val="0"/>
      <w:adjustRightInd w:val="0"/>
      <w:textAlignment w:val="baseline"/>
    </w:pPr>
    <w:rPr>
      <w:kern w:val="28"/>
      <w:szCs w:val="20"/>
    </w:rPr>
  </w:style>
  <w:style w:type="paragraph" w:customStyle="1" w:styleId="39">
    <w:name w:val="纯文本_1"/>
    <w:basedOn w:val="1"/>
    <w:qFormat/>
    <w:uiPriority w:val="0"/>
    <w:rPr>
      <w:rFonts w:ascii="宋体" w:hAnsi="Courier New"/>
      <w:szCs w:val="20"/>
    </w:rPr>
  </w:style>
  <w:style w:type="paragraph" w:customStyle="1" w:styleId="4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93</Pages>
  <Words>3335</Words>
  <Characters>3710</Characters>
  <Lines>430</Lines>
  <Paragraphs>121</Paragraphs>
  <TotalTime>14</TotalTime>
  <ScaleCrop>false</ScaleCrop>
  <LinksUpToDate>false</LinksUpToDate>
  <CharactersWithSpaces>3813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微信用户</cp:lastModifiedBy>
  <dcterms:modified xsi:type="dcterms:W3CDTF">2025-06-06T08:06:22Z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427F122D8C47423EB6F82E90AAFE516A_13</vt:lpwstr>
  </property>
  <property fmtid="{D5CDD505-2E9C-101B-9397-08002B2CF9AE}" pid="4" name="KSOTemplateDocerSaveRecord">
    <vt:lpwstr>eyJoZGlkIjoiMDgzOTJlZjE1NDFiZTdlNDEzMmU2MGY3ZTgyOWMzMzAiLCJ1c2VySWQiOiIxNDg0NTg1NTY2In0=</vt:lpwstr>
  </property>
</Properties>
</file>