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400" w:lineRule="exact"/>
        <w:jc w:val="center"/>
        <w:rPr>
          <w:rFonts w:ascii="黑体" w:hAnsi="黑体" w:eastAsia="黑体" w:cs="宋体"/>
          <w:b/>
          <w:bCs/>
          <w:color w:val="404040"/>
          <w:kern w:val="0"/>
          <w:sz w:val="32"/>
          <w:szCs w:val="32"/>
        </w:rPr>
      </w:pPr>
      <w:bookmarkStart w:id="0" w:name="_GoBack"/>
      <w:bookmarkEnd w:id="0"/>
      <w:r>
        <w:rPr>
          <w:rFonts w:hint="eastAsia" w:ascii="黑体" w:hAnsi="黑体" w:eastAsia="黑体" w:cs="宋体"/>
          <w:b/>
          <w:bCs/>
          <w:color w:val="404040"/>
          <w:kern w:val="0"/>
          <w:sz w:val="32"/>
          <w:szCs w:val="32"/>
        </w:rPr>
        <w:t>“自助报告机运维服务”项目主要服务内容</w:t>
      </w:r>
    </w:p>
    <w:p>
      <w:pPr>
        <w:pStyle w:val="6"/>
        <w:spacing w:before="0" w:beforeAutospacing="0" w:after="0" w:afterAutospacing="0" w:line="480" w:lineRule="atLeast"/>
        <w:rPr>
          <w:rFonts w:ascii="黑体" w:hAnsi="黑体" w:eastAsia="黑体"/>
          <w:color w:val="404040"/>
        </w:rPr>
      </w:pPr>
      <w:r>
        <w:rPr>
          <w:rFonts w:hint="eastAsia" w:ascii="黑体" w:hAnsi="黑体" w:eastAsia="黑体"/>
          <w:color w:val="404040"/>
        </w:rPr>
        <w:t>总体要求：</w:t>
      </w:r>
    </w:p>
    <w:p>
      <w:pPr>
        <w:pStyle w:val="6"/>
        <w:spacing w:before="0" w:beforeAutospacing="0" w:after="0" w:afterAutospacing="0" w:line="480" w:lineRule="atLeast"/>
        <w:ind w:firstLine="480" w:firstLineChars="200"/>
        <w:rPr>
          <w:rFonts w:ascii="黑体" w:hAnsi="黑体" w:eastAsia="黑体"/>
          <w:color w:val="404040"/>
        </w:rPr>
      </w:pPr>
      <w:r>
        <w:rPr>
          <w:rFonts w:hint="eastAsia" w:ascii="黑体" w:hAnsi="黑体" w:eastAsia="黑体"/>
          <w:color w:val="404040"/>
        </w:rPr>
        <w:t>本项目需为医院自助报告机提供一年运维服务，需提供不少于11台自助报告机，具体以医院实际要求为准，该自助报告机的的制造标准及技术规范等有关资料必须符合国家相关标准.规范要求，并提供至少一名驻点人员提供驻场服务，驻点人员针对该项目提供相关技术支持与服务，主要服务内容：对自助报告机进行软硬件故障维护（确保硬件设备配件的正常使用，配件维修和更换，提供自助机专用配件及专用碳粉等耗材，所需的一切费用由中标人承担），确保全院自助打印服务正常运行，打印软件及与医院集成平台间各个接口软件的正常运行。</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具体要求：</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一、自助报告机硬件主要技术要求：</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1、触摸屏：≥21.5英寸</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2、内存：≥4G</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3、储存空间：≥500G</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4、打印类型要求：彩色激光打印</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5、打印介质：支持A4、A5、B5等普通纸打印</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6、支持一维码、二维码扫描，支持社保卡、就诊卡（磁条卡/插入式/非接式/身份证）等读卡</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二、自助报告机软件主要技术要求：</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1、报告采集：通过接口实现院内所有报告、单据的数据采集并与患者信息进行关联。</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2、报告分流：支持按院区、病区、门诊与住院、临床科室等条件进行报告分流，以满足各类定制需求。</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3、按终端统计印量：支持按日期、机型、终端、打印机、文件类型、尺寸、介质等自定义组合条件进行印量统计。</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4、按医技科室统计印量：支持按日期、医技科室、来源、介质、尺寸等自定义组合条件进行印量统计。</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5、印量明细查询：支持按日期、科室、报告类别等条件查询报告明细，包括科室、报告类别、颜色、打印终端、介质、尺寸、打印时间等信息。</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6、查询打印信息：通过科室、打印状态、识别状态、接收时间段、患者姓名、取片凭证等信息查询打印作业，并支持按需选择指定打印机进行批量报告打印。</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7、直接输出功能：支持医生站发送的报告，无需条码，直接选择指定打印机打印出来。</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8、判断报告重复功能：支持在一定时间内发送第二份报告可以覆盖前一份报告。</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9、按需打印功能：支持根据病患条码/卡号，直接选择相应的打印机打印报告。</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10、打印机状态监控功能：接收打印终端上报的打印机状态，并通过数据交换系统上传状态数据，方便管理员监控各终端运行状态。</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11、剩余碳粉量监控功能：监控打印终端打印机的剩余碳粉量。</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12、黑白与彩色区分统计：服务器区分黑白打印、彩色打印，方便统计印量与业务服务管理。</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13、支持多种途径获取报告：支持院内条码/社保卡/院内就诊卡/二维码。</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14、与院内RIS、HIS、LIS、超声、病理、心电等系统进行数据对接，产生的一切接口费用（包含需要支付第三方厂家的接口费用）由中标方承担，支持同时打印放射/检验/超声/病理/心电/脑电等全院所有报告。</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15、支持终端患者姓名隐藏规则配置。</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16、支持在报告上按科室自定义添加水印、引导语等信息。</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17、一站式领取所有报告：支持一站式领取全院各科室报告及各种单据。</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18、权限管理：可根据不同用户角色对查询系统进行权限配置。</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3、服务内容</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（1）自助报告机进行软硬件故障维护</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（2）每个工作日对自助报告机进行巡查。</w:t>
      </w:r>
      <w:r>
        <w:rPr>
          <w:rFonts w:eastAsia="黑体" w:cs="Calibri"/>
          <w:color w:val="404040"/>
        </w:rPr>
        <w:t> </w:t>
      </w:r>
      <w:r>
        <w:rPr>
          <w:rFonts w:hint="eastAsia" w:ascii="黑体" w:hAnsi="黑体" w:eastAsia="黑体"/>
          <w:color w:val="404040"/>
        </w:rPr>
        <w:t>保证当天上班所有打印机自助报告机能正常工作。</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（3）负责自助报告机耗材添加和更换服务,保证更换后打印质量及设备、场地清洁。</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（4）对所有自助报告机进行编号登记,建立档案。负责自助报告机的使用情况监测。</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（5）对自助报告机耗材使用情况进行统计分析，及时发现异常使用情况，并予以处理。</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（6）自助报告机清洁保养工作（每季度一次对所有自助报告机进行清洁保养）。</w:t>
      </w:r>
      <w:r>
        <w:rPr>
          <w:rFonts w:eastAsia="黑体" w:cs="Calibri"/>
          <w:color w:val="404040"/>
        </w:rPr>
        <w:t> </w:t>
      </w:r>
    </w:p>
    <w:p>
      <w:pPr>
        <w:pStyle w:val="6"/>
        <w:spacing w:before="0" w:beforeAutospacing="0" w:after="0" w:afterAutospacing="0" w:line="480" w:lineRule="atLeast"/>
        <w:rPr>
          <w:rFonts w:hint="eastAsia" w:ascii="黑体" w:hAnsi="黑体" w:eastAsia="黑体"/>
          <w:color w:val="404040"/>
        </w:rPr>
      </w:pPr>
      <w:r>
        <w:rPr>
          <w:rFonts w:hint="eastAsia" w:ascii="黑体" w:hAnsi="黑体" w:eastAsia="黑体"/>
          <w:color w:val="404040"/>
        </w:rPr>
        <w:t>（7）应急处理服务：当用户方发生紧急事件、需要服务商提供技术支持时，服务商应立即调动所有技术资源，并采取措施，尽最大努力，调动一切技术力量及时解决用户方需求。</w:t>
      </w:r>
    </w:p>
    <w:p>
      <w:pPr>
        <w:pStyle w:val="6"/>
        <w:spacing w:before="0" w:beforeAutospacing="0" w:after="0" w:afterAutospacing="0" w:line="480" w:lineRule="atLeast"/>
        <w:ind w:firstLine="210"/>
        <w:rPr>
          <w:rFonts w:ascii="黑体" w:hAnsi="黑体" w:eastAsia="黑体"/>
          <w:color w:val="404040"/>
        </w:rPr>
      </w:pPr>
      <w:r>
        <w:rPr>
          <w:rFonts w:hint="eastAsia" w:ascii="黑体" w:hAnsi="黑体" w:eastAsia="黑体"/>
          <w:color w:val="404040"/>
        </w:rPr>
        <w:t>打印数量：根据采购人在服务期内的打印数量而定。由于该打印数量量是一个动态值，预估年打印张数：33.63万张，每张不超过1.1元，具体结算以采购人确认后的实际打印页数为准进行结算；</w:t>
      </w:r>
    </w:p>
    <w:p>
      <w:pPr>
        <w:pStyle w:val="6"/>
        <w:spacing w:before="0" w:beforeAutospacing="0" w:after="0" w:afterAutospacing="0" w:line="480" w:lineRule="atLeast"/>
        <w:ind w:firstLine="210"/>
        <w:rPr>
          <w:rFonts w:ascii="黑体" w:hAnsi="黑体" w:eastAsia="黑体"/>
          <w:color w:val="404040"/>
        </w:rPr>
      </w:pPr>
    </w:p>
    <w:p>
      <w:pPr>
        <w:pStyle w:val="6"/>
        <w:spacing w:before="0" w:beforeAutospacing="0" w:after="0" w:afterAutospacing="0" w:line="480" w:lineRule="atLeast"/>
        <w:ind w:firstLine="210"/>
        <w:jc w:val="right"/>
        <w:rPr>
          <w:rFonts w:ascii="黑体" w:hAnsi="黑体" w:eastAsia="黑体"/>
          <w:color w:val="404040"/>
        </w:rPr>
      </w:pPr>
      <w:r>
        <w:rPr>
          <w:rFonts w:hint="eastAsia" w:ascii="黑体" w:hAnsi="黑体" w:eastAsia="黑体"/>
          <w:color w:val="404040"/>
        </w:rPr>
        <w:t>福州大学附属省立医院</w:t>
      </w:r>
    </w:p>
    <w:p>
      <w:pPr>
        <w:pStyle w:val="6"/>
        <w:wordWrap w:val="0"/>
        <w:spacing w:before="0" w:beforeAutospacing="0" w:after="0" w:afterAutospacing="0" w:line="480" w:lineRule="atLeast"/>
        <w:ind w:right="240" w:firstLine="210"/>
        <w:jc w:val="right"/>
        <w:rPr>
          <w:rFonts w:ascii="黑体" w:hAnsi="黑体" w:eastAsia="黑体"/>
          <w:color w:val="404040"/>
        </w:rPr>
      </w:pPr>
      <w:r>
        <w:rPr>
          <w:rFonts w:hint="eastAsia" w:ascii="黑体" w:hAnsi="黑体" w:eastAsia="黑体"/>
          <w:color w:val="404040"/>
        </w:rPr>
        <w:t>2</w:t>
      </w:r>
      <w:r>
        <w:rPr>
          <w:rFonts w:ascii="黑体" w:hAnsi="黑体" w:eastAsia="黑体"/>
          <w:color w:val="404040"/>
        </w:rPr>
        <w:t>025</w:t>
      </w:r>
      <w:r>
        <w:rPr>
          <w:rFonts w:hint="eastAsia" w:ascii="黑体" w:hAnsi="黑体" w:eastAsia="黑体"/>
          <w:color w:val="404040"/>
        </w:rPr>
        <w:t>年1</w:t>
      </w:r>
      <w:r>
        <w:rPr>
          <w:rFonts w:ascii="黑体" w:hAnsi="黑体" w:eastAsia="黑体"/>
          <w:color w:val="404040"/>
        </w:rPr>
        <w:t>0</w:t>
      </w:r>
      <w:r>
        <w:rPr>
          <w:rFonts w:hint="eastAsia" w:ascii="黑体" w:hAnsi="黑体" w:eastAsia="黑体"/>
          <w:color w:val="404040"/>
        </w:rPr>
        <w:t>月</w:t>
      </w:r>
      <w:r>
        <w:rPr>
          <w:rFonts w:hint="eastAsia" w:ascii="黑体" w:hAnsi="黑体" w:eastAsia="黑体"/>
          <w:color w:val="404040"/>
          <w:lang w:val="en-US" w:eastAsia="zh-CN"/>
        </w:rPr>
        <w:t>9</w:t>
      </w:r>
      <w:r>
        <w:rPr>
          <w:rFonts w:hint="eastAsia" w:ascii="黑体" w:hAnsi="黑体" w:eastAsia="黑体"/>
          <w:color w:val="404040"/>
        </w:rPr>
        <w:t>日</w:t>
      </w:r>
    </w:p>
    <w:p>
      <w:pPr>
        <w:widowControl/>
        <w:jc w:val="left"/>
        <w:rPr>
          <w:rFonts w:hint="eastAsia" w:ascii="黑体" w:hAnsi="黑体" w:eastAsia="黑体"/>
          <w:color w:val="404040"/>
          <w:kern w:val="0"/>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cs="宋体"/>
      <w:b/>
      <w:bCs/>
      <w:kern w:val="44"/>
      <w:sz w:val="48"/>
      <w:szCs w:val="48"/>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cs="宋体"/>
      <w:b/>
      <w:bCs/>
      <w:kern w:val="0"/>
      <w:sz w:val="36"/>
      <w:szCs w:val="36"/>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cs="宋体"/>
      <w:b/>
      <w:bCs/>
      <w:kern w:val="0"/>
      <w:sz w:val="27"/>
      <w:szCs w:val="27"/>
    </w:rPr>
  </w:style>
  <w:style w:type="character" w:default="1" w:styleId="7">
    <w:name w:val="Default Paragraph Font"/>
    <w:semiHidden/>
    <w:unhideWhenUsed/>
    <w:uiPriority w:val="1"/>
  </w:style>
  <w:style w:type="paragraph" w:styleId="5">
    <w:name w:val="Date"/>
    <w:basedOn w:val="1"/>
    <w:next w:val="1"/>
    <w:link w:val="9"/>
    <w:uiPriority w:val="0"/>
    <w:pPr>
      <w:ind w:left="100" w:leftChars="2500"/>
    </w:pPr>
  </w:style>
  <w:style w:type="paragraph" w:styleId="6">
    <w:name w:val="Normal (Web)"/>
    <w:basedOn w:val="1"/>
    <w:uiPriority w:val="99"/>
    <w:pPr>
      <w:spacing w:before="100" w:beforeAutospacing="1" w:after="100" w:afterAutospacing="1"/>
      <w:jc w:val="left"/>
    </w:pPr>
    <w:rPr>
      <w:kern w:val="0"/>
      <w:sz w:val="24"/>
    </w:rPr>
  </w:style>
  <w:style w:type="character" w:styleId="8">
    <w:name w:val="Strong"/>
    <w:qFormat/>
    <w:uiPriority w:val="0"/>
    <w:rPr>
      <w:b/>
    </w:rPr>
  </w:style>
  <w:style w:type="character" w:customStyle="1" w:styleId="9">
    <w:name w:val="日期 字符"/>
    <w:link w:val="5"/>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1255</Words>
  <Characters>1281</Characters>
  <Lines>11</Lines>
  <Paragraphs>3</Paragraphs>
  <TotalTime>0</TotalTime>
  <ScaleCrop>false</ScaleCrop>
  <LinksUpToDate>false</LinksUpToDate>
  <CharactersWithSpaces>0</CharactersWithSpaces>
  <Application>WPS Office 个人版_9.1.0.4619_{F1E327BC-269C-435d-A152-05C5408002CA}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2025-06-26T07:17:00Z</dcterms:created>
  <dc:creator>user</dc:creator>
  <cp:lastModifiedBy>lenovo</cp:lastModifiedBy>
  <dcterms:modified xsi:type="dcterms:W3CDTF">2025-10-09T02:51:01Z</dcterms:modified>
  <dc:title>福州大学附属省立医院工会智慧工会平台信息化</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2052-9.1.0.4619</vt:lpwstr>
  </property>
  <property fmtid="{D5CDD505-2E9C-101B-9397-08002B2CF9AE}" pid="3" name="KSOTemplateDocerSaveRecord">
    <vt:lpwstr>eyJoZGlkIjoiYmY4MTI3OWRjMDU5MDRhNjQyOTA0OTdkM2E2ZmZhZjAiLCJ1c2VySWQiOiI0NzQyMjU0NzYifQ==</vt:lpwstr>
  </property>
  <property fmtid="{D5CDD505-2E9C-101B-9397-08002B2CF9AE}" pid="4" name="ICV">
    <vt:lpwstr>39B9FDF5FF9649E585BA2851CC78C8DC_13</vt:lpwstr>
  </property>
</Properties>
</file>