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A715C">
      <w:pPr>
        <w:pStyle w:val="3"/>
        <w:keepNext w:val="0"/>
        <w:keepLines w:val="0"/>
        <w:pageBreakBefore w:val="0"/>
        <w:widowControl/>
        <w:kinsoku/>
        <w:wordWrap/>
        <w:overflowPunct/>
        <w:topLinePunct w:val="0"/>
        <w:autoSpaceDE/>
        <w:autoSpaceDN/>
        <w:bidi w:val="0"/>
        <w:adjustRightInd/>
        <w:snapToGrid/>
        <w:spacing w:before="150" w:beforeAutospacing="0" w:after="150" w:afterAutospacing="0" w:line="300" w:lineRule="exact"/>
        <w:jc w:val="center"/>
        <w:rPr>
          <w:b w:val="0"/>
          <w:bCs w:val="0"/>
          <w:color w:val="auto"/>
          <w:sz w:val="30"/>
          <w:szCs w:val="30"/>
        </w:rPr>
      </w:pPr>
      <w:bookmarkStart w:id="0" w:name="_GoBack"/>
      <w:r>
        <w:rPr>
          <w:rFonts w:hint="eastAsia"/>
          <w:b w:val="0"/>
          <w:bCs w:val="0"/>
          <w:color w:val="auto"/>
          <w:sz w:val="30"/>
          <w:szCs w:val="30"/>
          <w:lang w:eastAsia="zh-CN"/>
        </w:rPr>
        <w:t>福州大学附属省立医院计量</w:t>
      </w:r>
      <w:r>
        <w:rPr>
          <w:rFonts w:hint="eastAsia"/>
          <w:b w:val="0"/>
          <w:bCs w:val="0"/>
          <w:color w:val="auto"/>
          <w:sz w:val="30"/>
          <w:szCs w:val="30"/>
        </w:rPr>
        <w:t>器具</w:t>
      </w:r>
      <w:r>
        <w:rPr>
          <w:rFonts w:hint="eastAsia"/>
          <w:b w:val="0"/>
          <w:bCs w:val="0"/>
          <w:color w:val="auto"/>
          <w:sz w:val="30"/>
          <w:szCs w:val="30"/>
          <w:lang w:eastAsia="zh-CN"/>
        </w:rPr>
        <w:t>检测</w:t>
      </w:r>
      <w:r>
        <w:rPr>
          <w:rFonts w:hint="eastAsia"/>
          <w:b w:val="0"/>
          <w:bCs w:val="0"/>
          <w:color w:val="auto"/>
          <w:sz w:val="30"/>
          <w:szCs w:val="30"/>
        </w:rPr>
        <w:t>服务</w:t>
      </w:r>
      <w:bookmarkEnd w:id="0"/>
    </w:p>
    <w:p w14:paraId="5DD13650">
      <w:pPr>
        <w:pStyle w:val="6"/>
        <w:keepNext w:val="0"/>
        <w:keepLines w:val="0"/>
        <w:pageBreakBefore w:val="0"/>
        <w:widowControl/>
        <w:kinsoku/>
        <w:wordWrap/>
        <w:overflowPunct/>
        <w:topLinePunct w:val="0"/>
        <w:autoSpaceDE/>
        <w:autoSpaceDN/>
        <w:bidi w:val="0"/>
        <w:adjustRightInd/>
        <w:snapToGrid/>
        <w:spacing w:before="150" w:beforeAutospacing="0" w:line="300" w:lineRule="exact"/>
        <w:jc w:val="both"/>
        <w:rPr>
          <w:rFonts w:hint="eastAsia" w:ascii="宋体" w:hAnsi="宋体" w:eastAsia="宋体" w:cs="宋体"/>
          <w:b w:val="0"/>
          <w:bCs w:val="0"/>
          <w:color w:val="auto"/>
        </w:rPr>
      </w:pPr>
      <w:r>
        <w:rPr>
          <w:rStyle w:val="9"/>
          <w:rFonts w:hint="eastAsia" w:ascii="宋体" w:hAnsi="宋体" w:eastAsia="宋体" w:cs="宋体"/>
          <w:b w:val="0"/>
          <w:bCs w:val="0"/>
          <w:color w:val="auto"/>
        </w:rPr>
        <w:t>一、项目概况和范围</w:t>
      </w:r>
    </w:p>
    <w:p w14:paraId="28379C3B">
      <w:pPr>
        <w:pStyle w:val="3"/>
        <w:keepNext w:val="0"/>
        <w:keepLines w:val="0"/>
        <w:pageBreakBefore w:val="0"/>
        <w:widowControl/>
        <w:kinsoku/>
        <w:wordWrap/>
        <w:overflowPunct/>
        <w:topLinePunct w:val="0"/>
        <w:autoSpaceDE/>
        <w:autoSpaceDN/>
        <w:bidi w:val="0"/>
        <w:adjustRightInd/>
        <w:snapToGrid/>
        <w:spacing w:before="150" w:beforeAutospacing="0" w:after="150" w:afterAutospacing="0" w:line="300" w:lineRule="exact"/>
        <w:ind w:firstLine="480" w:firstLineChars="20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1、项目名称：福州大学附属省立医院计量器具检测服务</w:t>
      </w:r>
      <w:r>
        <w:rPr>
          <w:rFonts w:hint="eastAsia" w:cs="宋体"/>
          <w:b w:val="0"/>
          <w:bCs w:val="0"/>
          <w:color w:val="auto"/>
          <w:kern w:val="2"/>
          <w:sz w:val="24"/>
          <w:szCs w:val="24"/>
          <w:lang w:val="en-US" w:eastAsia="zh-CN" w:bidi="ar-SA"/>
        </w:rPr>
        <w:t>。</w:t>
      </w:r>
    </w:p>
    <w:p w14:paraId="1D8FD795">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default" w:ascii="宋体" w:hAnsi="宋体" w:eastAsia="宋体" w:cs="宋体"/>
          <w:b w:val="0"/>
          <w:bCs w:val="0"/>
          <w:color w:val="auto"/>
          <w:lang w:val="en-US"/>
        </w:rPr>
      </w:pPr>
      <w:r>
        <w:rPr>
          <w:rFonts w:hint="eastAsia" w:ascii="宋体" w:hAnsi="宋体" w:eastAsia="宋体" w:cs="宋体"/>
          <w:b w:val="0"/>
          <w:bCs w:val="0"/>
          <w:color w:val="auto"/>
        </w:rPr>
        <w:t>2、项目地点：</w:t>
      </w:r>
      <w:r>
        <w:rPr>
          <w:rFonts w:hint="eastAsia" w:ascii="宋体" w:hAnsi="宋体" w:eastAsia="宋体" w:cs="宋体"/>
          <w:b w:val="0"/>
          <w:bCs w:val="0"/>
          <w:color w:val="auto"/>
          <w:kern w:val="2"/>
          <w:sz w:val="24"/>
          <w:szCs w:val="24"/>
          <w:lang w:val="en-US" w:eastAsia="zh-CN" w:bidi="ar-SA"/>
        </w:rPr>
        <w:t>福州大学附属省立医院</w:t>
      </w:r>
      <w:r>
        <w:rPr>
          <w:rFonts w:hint="eastAsia" w:ascii="宋体" w:hAnsi="宋体" w:eastAsia="宋体" w:cs="宋体"/>
          <w:b w:val="0"/>
          <w:bCs w:val="0"/>
          <w:color w:val="auto"/>
          <w:kern w:val="2"/>
        </w:rPr>
        <w:t>东街</w:t>
      </w:r>
      <w:r>
        <w:rPr>
          <w:rFonts w:hint="eastAsia" w:ascii="宋体" w:hAnsi="宋体" w:eastAsia="宋体" w:cs="宋体"/>
          <w:b w:val="0"/>
          <w:bCs w:val="0"/>
          <w:color w:val="auto"/>
          <w:kern w:val="2"/>
          <w:lang w:eastAsia="zh-CN"/>
        </w:rPr>
        <w:t>院区、金山院区。</w:t>
      </w:r>
    </w:p>
    <w:p w14:paraId="7D42A852">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3、范围和内容：详见谈判文件的主要技术参数及服务要求。</w:t>
      </w:r>
    </w:p>
    <w:p w14:paraId="4B5FAC2F">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4、本项目预算金额：</w:t>
      </w:r>
      <w:r>
        <w:rPr>
          <w:rFonts w:hint="eastAsia" w:ascii="宋体" w:hAnsi="宋体" w:eastAsia="宋体" w:cs="宋体"/>
          <w:b w:val="0"/>
          <w:bCs w:val="0"/>
          <w:color w:val="auto"/>
          <w:lang w:val="en-US" w:eastAsia="zh-CN"/>
        </w:rPr>
        <w:t>30</w:t>
      </w:r>
      <w:r>
        <w:rPr>
          <w:rFonts w:hint="eastAsia" w:ascii="宋体" w:hAnsi="宋体" w:eastAsia="宋体" w:cs="宋体"/>
          <w:b w:val="0"/>
          <w:bCs w:val="0"/>
          <w:color w:val="auto"/>
        </w:rPr>
        <w:t>万元。</w:t>
      </w:r>
    </w:p>
    <w:p w14:paraId="7D82DABD">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5、服务期限：202</w:t>
      </w:r>
      <w:r>
        <w:rPr>
          <w:rFonts w:hint="eastAsia" w:ascii="宋体" w:hAnsi="宋体" w:eastAsia="宋体" w:cs="宋体"/>
          <w:b w:val="0"/>
          <w:bCs w:val="0"/>
          <w:color w:val="auto"/>
          <w:lang w:val="en-US" w:eastAsia="zh-CN"/>
        </w:rPr>
        <w:t>5</w:t>
      </w:r>
      <w:r>
        <w:rPr>
          <w:rFonts w:hint="eastAsia" w:ascii="宋体" w:hAnsi="宋体" w:eastAsia="宋体" w:cs="宋体"/>
          <w:b w:val="0"/>
          <w:bCs w:val="0"/>
          <w:color w:val="auto"/>
        </w:rPr>
        <w:t>年度</w:t>
      </w:r>
      <w:r>
        <w:rPr>
          <w:rFonts w:hint="eastAsia" w:ascii="宋体" w:hAnsi="宋体" w:eastAsia="宋体" w:cs="宋体"/>
          <w:b w:val="0"/>
          <w:bCs w:val="0"/>
          <w:color w:val="auto"/>
          <w:lang w:val="en-US" w:eastAsia="zh-CN"/>
        </w:rPr>
        <w:t>(2025年中标人签订合同日起至2026年度项目中标人签订之日；</w:t>
      </w:r>
      <w:r>
        <w:rPr>
          <w:rFonts w:hint="eastAsia" w:ascii="宋体" w:hAnsi="宋体" w:eastAsia="宋体" w:cs="宋体"/>
          <w:b w:val="0"/>
          <w:bCs w:val="0"/>
          <w:color w:val="auto"/>
          <w:lang w:val="en-US" w:eastAsia="zh-CN"/>
        </w:rPr>
        <w:t>如果生物安全柜在2025.11.1以后不能提供GB41918-2022的CNAS或CMA证书的，本合同终止</w:t>
      </w:r>
      <w:r>
        <w:rPr>
          <w:rFonts w:hint="eastAsia" w:ascii="宋体" w:hAnsi="宋体" w:eastAsia="宋体" w:cs="宋体"/>
          <w:b w:val="0"/>
          <w:bCs w:val="0"/>
          <w:color w:val="auto"/>
          <w:lang w:val="en-US" w:eastAsia="zh-CN"/>
        </w:rPr>
        <w:t>)</w:t>
      </w:r>
      <w:r>
        <w:rPr>
          <w:rFonts w:hint="eastAsia" w:ascii="宋体" w:hAnsi="宋体" w:eastAsia="宋体" w:cs="宋体"/>
          <w:b w:val="0"/>
          <w:bCs w:val="0"/>
          <w:color w:val="auto"/>
        </w:rPr>
        <w:t>。</w:t>
      </w:r>
    </w:p>
    <w:p w14:paraId="74A1D7EA">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6、服务（货物）一览表：</w:t>
      </w:r>
    </w:p>
    <w:tbl>
      <w:tblPr>
        <w:tblStyle w:val="7"/>
        <w:tblW w:w="0" w:type="auto"/>
        <w:tblInd w:w="0" w:type="dxa"/>
        <w:tblLayout w:type="autofit"/>
        <w:tblCellMar>
          <w:top w:w="0" w:type="dxa"/>
          <w:left w:w="108" w:type="dxa"/>
          <w:bottom w:w="0" w:type="dxa"/>
          <w:right w:w="108" w:type="dxa"/>
        </w:tblCellMar>
      </w:tblPr>
      <w:tblGrid>
        <w:gridCol w:w="719"/>
        <w:gridCol w:w="720"/>
        <w:gridCol w:w="2443"/>
        <w:gridCol w:w="1004"/>
        <w:gridCol w:w="1320"/>
        <w:gridCol w:w="1365"/>
        <w:gridCol w:w="945"/>
      </w:tblGrid>
      <w:tr w14:paraId="46811901">
        <w:tblPrEx>
          <w:tblCellMar>
            <w:top w:w="0" w:type="dxa"/>
            <w:left w:w="108" w:type="dxa"/>
            <w:bottom w:w="0" w:type="dxa"/>
            <w:right w:w="108" w:type="dxa"/>
          </w:tblCellMar>
        </w:tblPrEx>
        <w:trPr>
          <w:trHeight w:val="90" w:hRule="atLeast"/>
        </w:trPr>
        <w:tc>
          <w:tcPr>
            <w:tcW w:w="72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1C9C8AA">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合同包</w:t>
            </w:r>
          </w:p>
        </w:tc>
        <w:tc>
          <w:tcPr>
            <w:tcW w:w="72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7F8BBDA">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品目号</w:t>
            </w:r>
          </w:p>
        </w:tc>
        <w:tc>
          <w:tcPr>
            <w:tcW w:w="244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4C7C3D8">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采购标的</w:t>
            </w:r>
          </w:p>
        </w:tc>
        <w:tc>
          <w:tcPr>
            <w:tcW w:w="10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5661CF3">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数量</w:t>
            </w:r>
          </w:p>
        </w:tc>
        <w:tc>
          <w:tcPr>
            <w:tcW w:w="132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6CC57BC5">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预算单价（元）</w:t>
            </w:r>
          </w:p>
        </w:tc>
        <w:tc>
          <w:tcPr>
            <w:tcW w:w="136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D28D019">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预算总金额（元）</w:t>
            </w:r>
          </w:p>
        </w:tc>
        <w:tc>
          <w:tcPr>
            <w:tcW w:w="94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26D4FB0">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服务</w:t>
            </w:r>
          </w:p>
          <w:p w14:paraId="66159F73">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地点</w:t>
            </w:r>
          </w:p>
        </w:tc>
      </w:tr>
      <w:tr w14:paraId="1B24A5DB">
        <w:tblPrEx>
          <w:tblCellMar>
            <w:top w:w="0" w:type="dxa"/>
            <w:left w:w="108" w:type="dxa"/>
            <w:bottom w:w="0" w:type="dxa"/>
            <w:right w:w="108" w:type="dxa"/>
          </w:tblCellMar>
        </w:tblPrEx>
        <w:trPr>
          <w:trHeight w:val="540" w:hRule="atLeast"/>
        </w:trPr>
        <w:tc>
          <w:tcPr>
            <w:tcW w:w="7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EF23F96">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包1</w:t>
            </w:r>
          </w:p>
        </w:tc>
        <w:tc>
          <w:tcPr>
            <w:tcW w:w="7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F43242B">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rPr>
              <w:t>1-1</w:t>
            </w:r>
          </w:p>
        </w:tc>
        <w:tc>
          <w:tcPr>
            <w:tcW w:w="244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F94C43E">
            <w:pPr>
              <w:pStyle w:val="6"/>
              <w:keepNext w:val="0"/>
              <w:keepLines w:val="0"/>
              <w:pageBreakBefore w:val="0"/>
              <w:widowControl/>
              <w:kinsoku/>
              <w:wordWrap/>
              <w:overflowPunct/>
              <w:topLinePunct w:val="0"/>
              <w:autoSpaceDE/>
              <w:autoSpaceDN/>
              <w:bidi w:val="0"/>
              <w:adjustRightInd/>
              <w:snapToGrid/>
              <w:spacing w:line="300" w:lineRule="exact"/>
              <w:rPr>
                <w:rFonts w:ascii="宋体" w:hAnsi="宋体" w:eastAsia="宋体" w:cs="宋体"/>
                <w:b w:val="0"/>
                <w:bCs w:val="0"/>
                <w:color w:val="auto"/>
                <w:kern w:val="2"/>
              </w:rPr>
            </w:pPr>
            <w:r>
              <w:rPr>
                <w:rFonts w:hint="eastAsia" w:ascii="宋体" w:hAnsi="宋体" w:eastAsia="宋体" w:cs="宋体"/>
                <w:b w:val="0"/>
                <w:bCs w:val="0"/>
                <w:color w:val="auto"/>
                <w:kern w:val="2"/>
                <w:lang w:eastAsia="zh-CN"/>
              </w:rPr>
              <w:t>计量</w:t>
            </w:r>
            <w:r>
              <w:rPr>
                <w:rFonts w:hint="eastAsia" w:ascii="宋体" w:hAnsi="宋体" w:eastAsia="宋体" w:cs="宋体"/>
                <w:b w:val="0"/>
                <w:bCs w:val="0"/>
                <w:color w:val="auto"/>
                <w:kern w:val="2"/>
              </w:rPr>
              <w:t>器具服务</w:t>
            </w:r>
          </w:p>
        </w:tc>
        <w:tc>
          <w:tcPr>
            <w:tcW w:w="10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B5941EA">
            <w:pPr>
              <w:pStyle w:val="6"/>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color w:val="auto"/>
                <w:kern w:val="2"/>
                <w:lang w:eastAsia="zh-CN"/>
              </w:rPr>
            </w:pPr>
            <w:r>
              <w:rPr>
                <w:rFonts w:hint="eastAsia" w:ascii="宋体" w:hAnsi="宋体" w:eastAsia="宋体" w:cs="宋体"/>
                <w:b w:val="0"/>
                <w:bCs w:val="0"/>
                <w:color w:val="auto"/>
                <w:kern w:val="2"/>
              </w:rPr>
              <w:t>1</w:t>
            </w:r>
            <w:r>
              <w:rPr>
                <w:rFonts w:hint="eastAsia" w:ascii="宋体" w:hAnsi="宋体" w:eastAsia="宋体" w:cs="宋体"/>
                <w:b w:val="0"/>
                <w:bCs w:val="0"/>
                <w:color w:val="auto"/>
                <w:kern w:val="2"/>
                <w:lang w:eastAsia="zh-CN"/>
              </w:rPr>
              <w:t>批</w:t>
            </w:r>
          </w:p>
        </w:tc>
        <w:tc>
          <w:tcPr>
            <w:tcW w:w="13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9658D0B">
            <w:pPr>
              <w:pStyle w:val="6"/>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color w:val="auto"/>
                <w:kern w:val="2"/>
                <w:lang w:val="en-US" w:eastAsia="zh-CN"/>
              </w:rPr>
            </w:pPr>
            <w:r>
              <w:rPr>
                <w:rFonts w:hint="eastAsia" w:ascii="宋体" w:hAnsi="宋体" w:eastAsia="宋体" w:cs="宋体"/>
                <w:b w:val="0"/>
                <w:bCs w:val="0"/>
                <w:color w:val="auto"/>
                <w:kern w:val="2"/>
                <w:lang w:val="en-US" w:eastAsia="zh-CN"/>
              </w:rPr>
              <w:t>/</w:t>
            </w:r>
          </w:p>
        </w:tc>
        <w:tc>
          <w:tcPr>
            <w:tcW w:w="136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B95B11C">
            <w:pPr>
              <w:pStyle w:val="6"/>
              <w:keepNext w:val="0"/>
              <w:keepLines w:val="0"/>
              <w:pageBreakBefore w:val="0"/>
              <w:widowControl/>
              <w:kinsoku/>
              <w:wordWrap/>
              <w:overflowPunct/>
              <w:topLinePunct w:val="0"/>
              <w:autoSpaceDE/>
              <w:autoSpaceDN/>
              <w:bidi w:val="0"/>
              <w:adjustRightInd/>
              <w:snapToGrid/>
              <w:spacing w:line="300" w:lineRule="exact"/>
              <w:rPr>
                <w:rFonts w:hint="default" w:ascii="宋体" w:hAnsi="宋体" w:eastAsia="宋体" w:cs="宋体"/>
                <w:b w:val="0"/>
                <w:bCs w:val="0"/>
                <w:color w:val="auto"/>
                <w:kern w:val="2"/>
                <w:lang w:val="en-US" w:eastAsia="zh-CN"/>
              </w:rPr>
            </w:pPr>
            <w:r>
              <w:rPr>
                <w:rFonts w:hint="eastAsia" w:ascii="宋体" w:hAnsi="宋体" w:eastAsia="宋体" w:cs="宋体"/>
                <w:b w:val="0"/>
                <w:bCs w:val="0"/>
                <w:color w:val="auto"/>
                <w:kern w:val="2"/>
                <w:lang w:val="en-US" w:eastAsia="zh-CN"/>
              </w:rPr>
              <w:t>300000</w:t>
            </w:r>
          </w:p>
        </w:tc>
        <w:tc>
          <w:tcPr>
            <w:tcW w:w="94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B52AA2F">
            <w:pPr>
              <w:pStyle w:val="6"/>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color w:val="auto"/>
                <w:kern w:val="2"/>
                <w:lang w:eastAsia="zh-CN"/>
              </w:rPr>
            </w:pPr>
            <w:r>
              <w:rPr>
                <w:rFonts w:hint="eastAsia" w:ascii="宋体" w:hAnsi="宋体" w:eastAsia="宋体" w:cs="宋体"/>
                <w:b w:val="0"/>
                <w:bCs w:val="0"/>
                <w:color w:val="auto"/>
                <w:kern w:val="2"/>
              </w:rPr>
              <w:t>东街</w:t>
            </w:r>
            <w:r>
              <w:rPr>
                <w:rFonts w:hint="eastAsia" w:ascii="宋体" w:hAnsi="宋体" w:eastAsia="宋体" w:cs="宋体"/>
                <w:b w:val="0"/>
                <w:bCs w:val="0"/>
                <w:color w:val="auto"/>
                <w:kern w:val="2"/>
                <w:lang w:eastAsia="zh-CN"/>
              </w:rPr>
              <w:t>院区、金山院区</w:t>
            </w:r>
          </w:p>
        </w:tc>
      </w:tr>
    </w:tbl>
    <w:p w14:paraId="0FB6BCB4">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7、需要落实的政府采购政策：（1）小型、微型企业：适用于合同包1。（2）残疾人福利性单位：适用于合同包1。</w:t>
      </w:r>
    </w:p>
    <w:p w14:paraId="4ADED1EE">
      <w:pPr>
        <w:pStyle w:val="6"/>
        <w:keepNext w:val="0"/>
        <w:keepLines w:val="0"/>
        <w:pageBreakBefore w:val="0"/>
        <w:widowControl/>
        <w:kinsoku/>
        <w:wordWrap/>
        <w:overflowPunct/>
        <w:topLinePunct w:val="0"/>
        <w:autoSpaceDE/>
        <w:autoSpaceDN/>
        <w:bidi w:val="0"/>
        <w:adjustRightInd/>
        <w:snapToGrid/>
        <w:spacing w:before="150" w:beforeAutospacing="0" w:line="300" w:lineRule="exact"/>
        <w:jc w:val="both"/>
        <w:rPr>
          <w:rFonts w:hint="eastAsia" w:ascii="宋体" w:hAnsi="宋体" w:eastAsia="宋体" w:cs="宋体"/>
          <w:b w:val="0"/>
          <w:bCs w:val="0"/>
          <w:color w:val="auto"/>
        </w:rPr>
      </w:pPr>
      <w:r>
        <w:rPr>
          <w:rStyle w:val="9"/>
          <w:rFonts w:hint="eastAsia" w:ascii="宋体" w:hAnsi="宋体" w:eastAsia="宋体" w:cs="宋体"/>
          <w:b w:val="0"/>
          <w:bCs w:val="0"/>
          <w:color w:val="auto"/>
        </w:rPr>
        <w:t>二、主要的技术参数及服务要求</w:t>
      </w:r>
    </w:p>
    <w:p w14:paraId="5AB5C157">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（一）项目概况</w:t>
      </w:r>
    </w:p>
    <w:p w14:paraId="470852C9">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（1）供应商应按照谈判文件要求，充分考虑项目现场所在地地理位置</w:t>
      </w:r>
      <w:r>
        <w:rPr>
          <w:rFonts w:hint="eastAsia" w:ascii="宋体" w:hAnsi="宋体" w:eastAsia="宋体" w:cs="宋体"/>
          <w:b w:val="0"/>
          <w:bCs w:val="0"/>
          <w:color w:val="auto"/>
          <w:lang w:eastAsia="zh-CN"/>
        </w:rPr>
        <w:t>（两院区分布约</w:t>
      </w:r>
      <w:r>
        <w:rPr>
          <w:rFonts w:hint="eastAsia" w:ascii="宋体" w:hAnsi="宋体" w:eastAsia="宋体" w:cs="宋体"/>
          <w:b w:val="0"/>
          <w:bCs w:val="0"/>
          <w:color w:val="auto"/>
          <w:lang w:val="en-US" w:eastAsia="zh-CN"/>
        </w:rPr>
        <w:t>70个不同地址</w:t>
      </w:r>
      <w:r>
        <w:rPr>
          <w:rFonts w:hint="eastAsia" w:ascii="宋体" w:hAnsi="宋体" w:eastAsia="宋体" w:cs="宋体"/>
          <w:b w:val="0"/>
          <w:bCs w:val="0"/>
          <w:color w:val="auto"/>
          <w:lang w:eastAsia="zh-CN"/>
        </w:rPr>
        <w:t>）</w:t>
      </w:r>
      <w:r>
        <w:rPr>
          <w:rFonts w:hint="eastAsia" w:ascii="宋体" w:hAnsi="宋体" w:eastAsia="宋体" w:cs="宋体"/>
          <w:b w:val="0"/>
          <w:bCs w:val="0"/>
          <w:color w:val="auto"/>
        </w:rPr>
        <w:t>及项目实施的实际情况</w:t>
      </w:r>
      <w:r>
        <w:rPr>
          <w:rFonts w:hint="eastAsia" w:ascii="宋体" w:hAnsi="宋体" w:eastAsia="宋体" w:cs="宋体"/>
          <w:b w:val="0"/>
          <w:bCs w:val="0"/>
          <w:color w:val="auto"/>
          <w:lang w:eastAsia="zh-CN"/>
        </w:rPr>
        <w:t>（高频、快速响应）</w:t>
      </w:r>
      <w:r>
        <w:rPr>
          <w:rFonts w:hint="eastAsia" w:ascii="宋体" w:hAnsi="宋体" w:eastAsia="宋体" w:cs="宋体"/>
          <w:b w:val="0"/>
          <w:bCs w:val="0"/>
          <w:color w:val="auto"/>
        </w:rPr>
        <w:t>，对各</w:t>
      </w:r>
      <w:r>
        <w:rPr>
          <w:rFonts w:hint="eastAsia" w:ascii="宋体" w:hAnsi="宋体" w:eastAsia="宋体" w:cs="宋体"/>
          <w:b w:val="0"/>
          <w:bCs w:val="0"/>
          <w:color w:val="auto"/>
          <w:lang w:eastAsia="zh-CN"/>
        </w:rPr>
        <w:t>计量器具</w:t>
      </w:r>
      <w:r>
        <w:rPr>
          <w:rFonts w:hint="eastAsia" w:ascii="宋体" w:hAnsi="宋体" w:eastAsia="宋体" w:cs="宋体"/>
          <w:b w:val="0"/>
          <w:bCs w:val="0"/>
          <w:color w:val="auto"/>
        </w:rPr>
        <w:t>的检测/校准</w:t>
      </w:r>
      <w:r>
        <w:rPr>
          <w:rFonts w:hint="eastAsia" w:ascii="宋体" w:hAnsi="宋体" w:eastAsia="宋体" w:cs="宋体"/>
          <w:b w:val="0"/>
          <w:bCs w:val="0"/>
          <w:color w:val="auto"/>
          <w:lang w:val="en-US" w:eastAsia="zh-CN"/>
        </w:rPr>
        <w:t>/送检</w:t>
      </w:r>
      <w:r>
        <w:rPr>
          <w:rFonts w:hint="eastAsia" w:ascii="宋体" w:hAnsi="宋体" w:eastAsia="宋体" w:cs="宋体"/>
          <w:b w:val="0"/>
          <w:bCs w:val="0"/>
          <w:color w:val="auto"/>
        </w:rPr>
        <w:t>服务进行单价报价；所报单价不因市场因素、政府政策调整、各种材料市场价格的浮动等因素造成的货物价格变动、税收变化等而作任何调整，供应商应在响应时充分考虑到各种风险因素。上述价格变动不予调整。</w:t>
      </w:r>
    </w:p>
    <w:p w14:paraId="1468BA3A">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Style w:val="9"/>
          <w:rFonts w:hint="eastAsia" w:ascii="宋体" w:hAnsi="宋体" w:eastAsia="宋体" w:cs="宋体"/>
          <w:b w:val="0"/>
          <w:bCs w:val="0"/>
          <w:color w:val="auto"/>
        </w:rPr>
        <w:t>（2）供应商必须对检测/校准服务的真实性负责，如果供应商虚报服务骗取</w:t>
      </w:r>
      <w:r>
        <w:rPr>
          <w:rStyle w:val="9"/>
          <w:rFonts w:hint="eastAsia" w:ascii="宋体" w:hAnsi="宋体" w:eastAsia="宋体" w:cs="宋体"/>
          <w:b w:val="0"/>
          <w:bCs w:val="0"/>
          <w:color w:val="auto"/>
          <w:lang w:eastAsia="zh-CN"/>
        </w:rPr>
        <w:t>中标</w:t>
      </w:r>
      <w:r>
        <w:rPr>
          <w:rStyle w:val="9"/>
          <w:rFonts w:hint="eastAsia" w:ascii="宋体" w:hAnsi="宋体" w:eastAsia="宋体" w:cs="宋体"/>
          <w:b w:val="0"/>
          <w:bCs w:val="0"/>
          <w:color w:val="auto"/>
        </w:rPr>
        <w:t>，其</w:t>
      </w:r>
      <w:r>
        <w:rPr>
          <w:rStyle w:val="9"/>
          <w:rFonts w:hint="eastAsia" w:ascii="宋体" w:hAnsi="宋体" w:eastAsia="宋体" w:cs="宋体"/>
          <w:b w:val="0"/>
          <w:bCs w:val="0"/>
          <w:color w:val="auto"/>
          <w:lang w:eastAsia="zh-CN"/>
        </w:rPr>
        <w:t>中标</w:t>
      </w:r>
      <w:r>
        <w:rPr>
          <w:rStyle w:val="9"/>
          <w:rFonts w:hint="eastAsia" w:ascii="宋体" w:hAnsi="宋体" w:eastAsia="宋体" w:cs="宋体"/>
          <w:b w:val="0"/>
          <w:bCs w:val="0"/>
          <w:color w:val="auto"/>
        </w:rPr>
        <w:t>资格无效。</w:t>
      </w:r>
    </w:p>
    <w:p w14:paraId="556E77A5">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（3）投标货币为人民币报价，投标报价是指供应商根据要求提供的服务总价格，应包括：计量器具的检测</w:t>
      </w:r>
      <w:r>
        <w:rPr>
          <w:rFonts w:hint="eastAsia" w:ascii="宋体" w:hAnsi="宋体" w:eastAsia="宋体" w:cs="宋体"/>
          <w:b w:val="0"/>
          <w:bCs w:val="0"/>
          <w:color w:val="auto"/>
          <w:lang w:val="en-US" w:eastAsia="zh-CN"/>
        </w:rPr>
        <w:t>/检定/校准</w:t>
      </w:r>
      <w:r>
        <w:rPr>
          <w:rFonts w:hint="eastAsia" w:ascii="宋体" w:hAnsi="宋体" w:eastAsia="宋体" w:cs="宋体"/>
          <w:b w:val="0"/>
          <w:bCs w:val="0"/>
          <w:color w:val="auto"/>
        </w:rPr>
        <w:t>、上门取送、下现场检测、简单调修、加急、运输、装卸、保险、检定证书、校准证书、检定标签、代送检及完成本采购内容所需的一切含税费用等。</w:t>
      </w:r>
    </w:p>
    <w:p w14:paraId="757D00FB">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Style w:val="9"/>
          <w:rFonts w:hint="eastAsia" w:ascii="宋体" w:hAnsi="宋体" w:eastAsia="宋体" w:cs="宋体"/>
          <w:b w:val="0"/>
          <w:bCs w:val="0"/>
          <w:color w:val="auto"/>
        </w:rPr>
        <w:t>（4）报价应包含税费、人员差旅费等所有费用。本单位不承担第三方检测机构在进行</w:t>
      </w:r>
      <w:r>
        <w:rPr>
          <w:rStyle w:val="9"/>
          <w:rFonts w:hint="eastAsia" w:ascii="宋体" w:hAnsi="宋体" w:eastAsia="宋体" w:cs="宋体"/>
          <w:b w:val="0"/>
          <w:bCs w:val="0"/>
          <w:color w:val="auto"/>
          <w:lang w:eastAsia="zh-CN"/>
        </w:rPr>
        <w:t>计量器具</w:t>
      </w:r>
      <w:r>
        <w:rPr>
          <w:rStyle w:val="9"/>
          <w:rFonts w:hint="eastAsia" w:ascii="宋体" w:hAnsi="宋体" w:eastAsia="宋体" w:cs="宋体"/>
          <w:b w:val="0"/>
          <w:bCs w:val="0"/>
          <w:color w:val="auto"/>
        </w:rPr>
        <w:t>检测/校准</w:t>
      </w:r>
      <w:r>
        <w:rPr>
          <w:rStyle w:val="9"/>
          <w:rFonts w:hint="eastAsia" w:ascii="宋体" w:hAnsi="宋体" w:eastAsia="宋体" w:cs="宋体"/>
          <w:b w:val="0"/>
          <w:bCs w:val="0"/>
          <w:color w:val="auto"/>
          <w:lang w:val="en-US" w:eastAsia="zh-CN"/>
        </w:rPr>
        <w:t>/送检</w:t>
      </w:r>
      <w:r>
        <w:rPr>
          <w:rStyle w:val="9"/>
          <w:rFonts w:hint="eastAsia" w:ascii="宋体" w:hAnsi="宋体" w:eastAsia="宋体" w:cs="宋体"/>
          <w:b w:val="0"/>
          <w:bCs w:val="0"/>
          <w:color w:val="auto"/>
        </w:rPr>
        <w:t>过程所产生的交通、住宿、出差补贴等其他的费用。</w:t>
      </w:r>
      <w:r>
        <w:rPr>
          <w:rStyle w:val="9"/>
          <w:rFonts w:hint="eastAsia" w:ascii="宋体" w:hAnsi="宋体" w:eastAsia="宋体" w:cs="宋体"/>
          <w:b w:val="0"/>
          <w:bCs w:val="0"/>
          <w:color w:val="auto"/>
        </w:rPr>
        <w:t>单价报价不得超过最高单价限价，报价合计不得超过预算总价。供应商可根据实际情况进行报价，若某项报价出现0元则视为无效投标。</w:t>
      </w:r>
    </w:p>
    <w:p w14:paraId="7C42A987">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lang w:val="en-US" w:eastAsia="zh-CN"/>
        </w:rPr>
      </w:pPr>
      <w:r>
        <w:rPr>
          <w:rStyle w:val="9"/>
          <w:rFonts w:hint="eastAsia" w:ascii="宋体" w:hAnsi="宋体" w:eastAsia="宋体" w:cs="宋体"/>
          <w:b w:val="0"/>
          <w:bCs w:val="0"/>
          <w:color w:val="auto"/>
        </w:rPr>
        <w:t>（5）</w:t>
      </w:r>
      <w:r>
        <w:rPr>
          <w:rFonts w:ascii="仿宋_GB2312" w:hAnsi="仿宋_GB2312" w:eastAsia="仿宋_GB2312" w:cs="仿宋_GB2312"/>
          <w:b w:val="0"/>
          <w:bCs w:val="0"/>
          <w:color w:val="auto"/>
          <w:sz w:val="24"/>
        </w:rPr>
        <w:t>技术要求及预估数量和限价</w:t>
      </w:r>
      <w:r>
        <w:rPr>
          <w:rStyle w:val="9"/>
          <w:rFonts w:hint="eastAsia" w:ascii="宋体" w:hAnsi="宋体" w:eastAsia="宋体" w:cs="宋体"/>
          <w:b w:val="0"/>
          <w:bCs w:val="0"/>
          <w:color w:val="auto"/>
        </w:rPr>
        <w:t>：</w:t>
      </w:r>
      <w:r>
        <w:rPr>
          <w:rFonts w:hint="eastAsia" w:ascii="宋体" w:hAnsi="宋体" w:eastAsia="宋体" w:cs="宋体"/>
          <w:b w:val="0"/>
          <w:bCs w:val="0"/>
          <w:color w:val="auto"/>
        </w:rPr>
        <w:t>（实际数量有可能增减，按实际</w:t>
      </w:r>
      <w:r>
        <w:rPr>
          <w:rFonts w:hint="eastAsia" w:ascii="宋体" w:hAnsi="宋体" w:eastAsia="宋体" w:cs="宋体"/>
          <w:b w:val="0"/>
          <w:bCs w:val="0"/>
          <w:color w:val="auto"/>
          <w:lang w:eastAsia="zh-CN"/>
        </w:rPr>
        <w:t>发生</w:t>
      </w:r>
      <w:r>
        <w:rPr>
          <w:rFonts w:hint="eastAsia" w:ascii="宋体" w:hAnsi="宋体" w:eastAsia="宋体" w:cs="宋体"/>
          <w:b w:val="0"/>
          <w:bCs w:val="0"/>
          <w:color w:val="auto"/>
        </w:rPr>
        <w:t>数量结算</w:t>
      </w:r>
      <w:r>
        <w:rPr>
          <w:rFonts w:hint="eastAsia" w:ascii="宋体" w:hAnsi="宋体" w:eastAsia="宋体" w:cs="宋体"/>
          <w:b w:val="0"/>
          <w:bCs w:val="0"/>
          <w:color w:val="auto"/>
          <w:lang w:val="en-US" w:eastAsia="zh-CN"/>
        </w:rPr>
        <w:t>)。</w:t>
      </w:r>
    </w:p>
    <w:tbl>
      <w:tblPr>
        <w:tblStyle w:val="7"/>
        <w:tblW w:w="9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208"/>
        <w:gridCol w:w="600"/>
        <w:gridCol w:w="740"/>
        <w:gridCol w:w="4220"/>
        <w:gridCol w:w="700"/>
      </w:tblGrid>
      <w:tr w14:paraId="48BF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00" w:type="dxa"/>
            <w:tcBorders>
              <w:top w:val="nil"/>
              <w:left w:val="nil"/>
              <w:bottom w:val="nil"/>
              <w:right w:val="nil"/>
            </w:tcBorders>
            <w:shd w:val="clear" w:color="auto" w:fill="auto"/>
            <w:noWrap/>
            <w:vAlign w:val="center"/>
          </w:tcPr>
          <w:p w14:paraId="48EFF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2208" w:type="dxa"/>
            <w:tcBorders>
              <w:top w:val="nil"/>
              <w:left w:val="nil"/>
              <w:bottom w:val="nil"/>
              <w:right w:val="nil"/>
            </w:tcBorders>
            <w:shd w:val="clear" w:color="auto" w:fill="auto"/>
            <w:vAlign w:val="center"/>
          </w:tcPr>
          <w:p w14:paraId="5D759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器具名称</w:t>
            </w:r>
          </w:p>
        </w:tc>
        <w:tc>
          <w:tcPr>
            <w:tcW w:w="600" w:type="dxa"/>
            <w:tcBorders>
              <w:top w:val="nil"/>
              <w:left w:val="nil"/>
              <w:bottom w:val="nil"/>
              <w:right w:val="nil"/>
            </w:tcBorders>
            <w:shd w:val="clear" w:color="auto" w:fill="auto"/>
            <w:vAlign w:val="center"/>
          </w:tcPr>
          <w:p w14:paraId="4F9BD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lang w:eastAsia="zh-CN"/>
              </w:rPr>
            </w:pPr>
            <w:r>
              <w:rPr>
                <w:rFonts w:hint="eastAsia" w:ascii="宋体" w:hAnsi="宋体" w:eastAsia="宋体" w:cs="宋体"/>
                <w:b w:val="0"/>
                <w:bCs w:val="0"/>
                <w:i w:val="0"/>
                <w:iCs w:val="0"/>
                <w:color w:val="auto"/>
                <w:sz w:val="21"/>
                <w:szCs w:val="21"/>
                <w:u w:val="none"/>
                <w:lang w:eastAsia="zh-CN"/>
              </w:rPr>
              <w:t>数量</w:t>
            </w:r>
          </w:p>
        </w:tc>
        <w:tc>
          <w:tcPr>
            <w:tcW w:w="740" w:type="dxa"/>
            <w:tcBorders>
              <w:top w:val="nil"/>
              <w:left w:val="nil"/>
              <w:bottom w:val="nil"/>
              <w:right w:val="nil"/>
            </w:tcBorders>
            <w:shd w:val="clear" w:color="auto" w:fill="auto"/>
            <w:vAlign w:val="center"/>
          </w:tcPr>
          <w:p w14:paraId="02254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价格（台/元）</w:t>
            </w:r>
          </w:p>
        </w:tc>
        <w:tc>
          <w:tcPr>
            <w:tcW w:w="4220" w:type="dxa"/>
            <w:tcBorders>
              <w:top w:val="nil"/>
              <w:left w:val="nil"/>
              <w:bottom w:val="nil"/>
              <w:right w:val="nil"/>
            </w:tcBorders>
            <w:shd w:val="clear" w:color="auto" w:fill="auto"/>
            <w:vAlign w:val="center"/>
          </w:tcPr>
          <w:p w14:paraId="0A69C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lang w:eastAsia="zh-CN"/>
              </w:rPr>
              <w:t>检测</w:t>
            </w:r>
            <w:r>
              <w:rPr>
                <w:rFonts w:hint="eastAsia" w:ascii="宋体" w:hAnsi="宋体" w:eastAsia="宋体" w:cs="宋体"/>
                <w:b w:val="0"/>
                <w:bCs w:val="0"/>
                <w:color w:val="auto"/>
                <w:kern w:val="0"/>
                <w:sz w:val="21"/>
                <w:szCs w:val="21"/>
              </w:rPr>
              <w:t>参数</w:t>
            </w:r>
            <w:r>
              <w:rPr>
                <w:rFonts w:hint="eastAsia" w:ascii="宋体" w:hAnsi="宋体" w:eastAsia="宋体" w:cs="宋体"/>
                <w:b w:val="0"/>
                <w:bCs w:val="0"/>
                <w:color w:val="auto"/>
                <w:kern w:val="0"/>
                <w:sz w:val="21"/>
                <w:szCs w:val="21"/>
                <w:lang w:eastAsia="zh-CN"/>
              </w:rPr>
              <w:t>、技术要求</w:t>
            </w:r>
          </w:p>
        </w:tc>
        <w:tc>
          <w:tcPr>
            <w:tcW w:w="700" w:type="dxa"/>
            <w:tcBorders>
              <w:top w:val="nil"/>
              <w:left w:val="nil"/>
              <w:bottom w:val="nil"/>
              <w:right w:val="nil"/>
            </w:tcBorders>
            <w:shd w:val="clear" w:color="auto" w:fill="auto"/>
            <w:vAlign w:val="center"/>
          </w:tcPr>
          <w:p w14:paraId="22B2B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服务</w:t>
            </w:r>
            <w:r>
              <w:rPr>
                <w:rFonts w:hint="eastAsia" w:ascii="宋体" w:hAnsi="宋体" w:eastAsia="宋体" w:cs="宋体"/>
                <w:b w:val="0"/>
                <w:bCs w:val="0"/>
                <w:color w:val="auto"/>
                <w:kern w:val="0"/>
                <w:sz w:val="21"/>
                <w:szCs w:val="21"/>
                <w:lang w:eastAsia="zh-CN"/>
              </w:rPr>
              <w:t>方式</w:t>
            </w:r>
          </w:p>
        </w:tc>
      </w:tr>
      <w:tr w14:paraId="45DD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00" w:type="dxa"/>
            <w:tcBorders>
              <w:top w:val="nil"/>
              <w:left w:val="nil"/>
              <w:bottom w:val="nil"/>
              <w:right w:val="nil"/>
            </w:tcBorders>
            <w:shd w:val="clear" w:color="auto" w:fill="auto"/>
            <w:noWrap/>
            <w:vAlign w:val="center"/>
          </w:tcPr>
          <w:p w14:paraId="42AC5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一、</w:t>
            </w:r>
          </w:p>
        </w:tc>
        <w:tc>
          <w:tcPr>
            <w:tcW w:w="2208" w:type="dxa"/>
            <w:tcBorders>
              <w:top w:val="nil"/>
              <w:left w:val="nil"/>
              <w:bottom w:val="nil"/>
              <w:right w:val="nil"/>
            </w:tcBorders>
            <w:shd w:val="clear" w:color="auto" w:fill="auto"/>
            <w:vAlign w:val="center"/>
          </w:tcPr>
          <w:p w14:paraId="3B4D8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校准/检测/验证项目</w:t>
            </w:r>
          </w:p>
        </w:tc>
        <w:tc>
          <w:tcPr>
            <w:tcW w:w="600" w:type="dxa"/>
            <w:tcBorders>
              <w:top w:val="nil"/>
              <w:left w:val="nil"/>
              <w:bottom w:val="nil"/>
              <w:right w:val="nil"/>
            </w:tcBorders>
            <w:shd w:val="clear" w:color="auto" w:fill="auto"/>
            <w:vAlign w:val="center"/>
          </w:tcPr>
          <w:p w14:paraId="0C9AA6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740" w:type="dxa"/>
            <w:tcBorders>
              <w:top w:val="nil"/>
              <w:left w:val="nil"/>
              <w:bottom w:val="nil"/>
              <w:right w:val="nil"/>
            </w:tcBorders>
            <w:shd w:val="clear" w:color="auto" w:fill="auto"/>
            <w:vAlign w:val="center"/>
          </w:tcPr>
          <w:p w14:paraId="034B1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4220" w:type="dxa"/>
            <w:tcBorders>
              <w:top w:val="nil"/>
              <w:left w:val="nil"/>
              <w:bottom w:val="nil"/>
              <w:right w:val="nil"/>
            </w:tcBorders>
            <w:shd w:val="clear" w:color="auto" w:fill="auto"/>
            <w:vAlign w:val="center"/>
          </w:tcPr>
          <w:p w14:paraId="41FB4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lang w:eastAsia="zh-CN"/>
              </w:rPr>
            </w:pPr>
          </w:p>
        </w:tc>
        <w:tc>
          <w:tcPr>
            <w:tcW w:w="700" w:type="dxa"/>
            <w:tcBorders>
              <w:top w:val="nil"/>
              <w:left w:val="nil"/>
              <w:bottom w:val="nil"/>
              <w:right w:val="nil"/>
            </w:tcBorders>
            <w:shd w:val="clear" w:color="auto" w:fill="auto"/>
            <w:vAlign w:val="center"/>
          </w:tcPr>
          <w:p w14:paraId="730218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p>
        </w:tc>
      </w:tr>
      <w:tr w14:paraId="5D8B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0" w:type="dxa"/>
            <w:tcBorders>
              <w:top w:val="nil"/>
              <w:left w:val="nil"/>
              <w:bottom w:val="nil"/>
              <w:right w:val="nil"/>
            </w:tcBorders>
            <w:shd w:val="clear" w:color="auto" w:fill="auto"/>
            <w:noWrap/>
            <w:vAlign w:val="center"/>
          </w:tcPr>
          <w:p w14:paraId="4AB0D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2208" w:type="dxa"/>
            <w:tcBorders>
              <w:top w:val="nil"/>
              <w:left w:val="nil"/>
              <w:bottom w:val="nil"/>
              <w:right w:val="nil"/>
            </w:tcBorders>
            <w:shd w:val="clear" w:color="auto" w:fill="auto"/>
            <w:vAlign w:val="center"/>
          </w:tcPr>
          <w:p w14:paraId="6975B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离心机（转速 )</w:t>
            </w:r>
          </w:p>
        </w:tc>
        <w:tc>
          <w:tcPr>
            <w:tcW w:w="600" w:type="dxa"/>
            <w:tcBorders>
              <w:top w:val="nil"/>
              <w:left w:val="nil"/>
              <w:bottom w:val="nil"/>
              <w:right w:val="nil"/>
            </w:tcBorders>
            <w:shd w:val="clear" w:color="auto" w:fill="auto"/>
            <w:vAlign w:val="center"/>
          </w:tcPr>
          <w:p w14:paraId="34C07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54</w:t>
            </w:r>
          </w:p>
        </w:tc>
        <w:tc>
          <w:tcPr>
            <w:tcW w:w="740" w:type="dxa"/>
            <w:tcBorders>
              <w:top w:val="nil"/>
              <w:left w:val="nil"/>
              <w:bottom w:val="nil"/>
              <w:right w:val="nil"/>
            </w:tcBorders>
            <w:shd w:val="clear" w:color="auto" w:fill="auto"/>
            <w:vAlign w:val="center"/>
          </w:tcPr>
          <w:p w14:paraId="65A71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170</w:t>
            </w:r>
          </w:p>
        </w:tc>
        <w:tc>
          <w:tcPr>
            <w:tcW w:w="4220" w:type="dxa"/>
            <w:tcBorders>
              <w:top w:val="nil"/>
              <w:left w:val="nil"/>
              <w:bottom w:val="nil"/>
              <w:right w:val="nil"/>
            </w:tcBorders>
            <w:shd w:val="clear" w:color="auto" w:fill="auto"/>
            <w:vAlign w:val="center"/>
          </w:tcPr>
          <w:p w14:paraId="6A07B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转速</w:t>
            </w:r>
          </w:p>
        </w:tc>
        <w:tc>
          <w:tcPr>
            <w:tcW w:w="700" w:type="dxa"/>
            <w:tcBorders>
              <w:top w:val="nil"/>
              <w:left w:val="nil"/>
              <w:bottom w:val="nil"/>
              <w:right w:val="nil"/>
            </w:tcBorders>
            <w:shd w:val="clear" w:color="auto" w:fill="auto"/>
            <w:vAlign w:val="center"/>
          </w:tcPr>
          <w:p w14:paraId="46CA3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下场</w:t>
            </w:r>
          </w:p>
        </w:tc>
      </w:tr>
      <w:tr w14:paraId="6FE8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00" w:type="dxa"/>
            <w:tcBorders>
              <w:top w:val="nil"/>
              <w:left w:val="nil"/>
              <w:bottom w:val="nil"/>
              <w:right w:val="nil"/>
            </w:tcBorders>
            <w:shd w:val="clear" w:color="auto" w:fill="auto"/>
            <w:noWrap/>
            <w:vAlign w:val="center"/>
          </w:tcPr>
          <w:p w14:paraId="4A7AD1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2208" w:type="dxa"/>
            <w:tcBorders>
              <w:top w:val="nil"/>
              <w:left w:val="nil"/>
              <w:bottom w:val="nil"/>
              <w:right w:val="nil"/>
            </w:tcBorders>
            <w:shd w:val="clear" w:color="auto" w:fill="auto"/>
            <w:vAlign w:val="center"/>
          </w:tcPr>
          <w:p w14:paraId="0DD618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离心机（转速、温度 )</w:t>
            </w:r>
          </w:p>
        </w:tc>
        <w:tc>
          <w:tcPr>
            <w:tcW w:w="600" w:type="dxa"/>
            <w:tcBorders>
              <w:top w:val="nil"/>
              <w:left w:val="nil"/>
              <w:bottom w:val="nil"/>
              <w:right w:val="nil"/>
            </w:tcBorders>
            <w:shd w:val="clear" w:color="auto" w:fill="auto"/>
            <w:vAlign w:val="center"/>
          </w:tcPr>
          <w:p w14:paraId="769282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740" w:type="dxa"/>
            <w:tcBorders>
              <w:top w:val="nil"/>
              <w:left w:val="nil"/>
              <w:bottom w:val="nil"/>
              <w:right w:val="nil"/>
            </w:tcBorders>
            <w:shd w:val="clear" w:color="auto" w:fill="auto"/>
            <w:vAlign w:val="center"/>
          </w:tcPr>
          <w:p w14:paraId="573B7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300</w:t>
            </w:r>
          </w:p>
        </w:tc>
        <w:tc>
          <w:tcPr>
            <w:tcW w:w="4220" w:type="dxa"/>
            <w:tcBorders>
              <w:top w:val="nil"/>
              <w:left w:val="nil"/>
              <w:bottom w:val="nil"/>
              <w:right w:val="nil"/>
            </w:tcBorders>
            <w:shd w:val="clear" w:color="auto" w:fill="auto"/>
            <w:vAlign w:val="center"/>
          </w:tcPr>
          <w:p w14:paraId="302E1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转速、温度</w:t>
            </w:r>
          </w:p>
        </w:tc>
        <w:tc>
          <w:tcPr>
            <w:tcW w:w="700" w:type="dxa"/>
            <w:tcBorders>
              <w:top w:val="nil"/>
              <w:left w:val="nil"/>
              <w:bottom w:val="nil"/>
              <w:right w:val="nil"/>
            </w:tcBorders>
            <w:shd w:val="clear" w:color="auto" w:fill="auto"/>
            <w:vAlign w:val="center"/>
          </w:tcPr>
          <w:p w14:paraId="4C0A9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1968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363F6D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2208" w:type="dxa"/>
            <w:tcBorders>
              <w:top w:val="nil"/>
              <w:left w:val="nil"/>
              <w:bottom w:val="nil"/>
              <w:right w:val="nil"/>
            </w:tcBorders>
            <w:shd w:val="clear" w:color="auto" w:fill="auto"/>
            <w:vAlign w:val="center"/>
          </w:tcPr>
          <w:p w14:paraId="34711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冰箱</w:t>
            </w:r>
          </w:p>
        </w:tc>
        <w:tc>
          <w:tcPr>
            <w:tcW w:w="600" w:type="dxa"/>
            <w:tcBorders>
              <w:top w:val="nil"/>
              <w:left w:val="nil"/>
              <w:bottom w:val="nil"/>
              <w:right w:val="nil"/>
            </w:tcBorders>
            <w:shd w:val="clear" w:color="auto" w:fill="auto"/>
            <w:vAlign w:val="center"/>
          </w:tcPr>
          <w:p w14:paraId="57006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120</w:t>
            </w:r>
          </w:p>
        </w:tc>
        <w:tc>
          <w:tcPr>
            <w:tcW w:w="740" w:type="dxa"/>
            <w:tcBorders>
              <w:top w:val="nil"/>
              <w:left w:val="nil"/>
              <w:bottom w:val="nil"/>
              <w:right w:val="nil"/>
            </w:tcBorders>
            <w:shd w:val="clear" w:color="auto" w:fill="auto"/>
            <w:vAlign w:val="center"/>
          </w:tcPr>
          <w:p w14:paraId="3AC9E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250</w:t>
            </w:r>
          </w:p>
        </w:tc>
        <w:tc>
          <w:tcPr>
            <w:tcW w:w="4220" w:type="dxa"/>
            <w:tcBorders>
              <w:top w:val="nil"/>
              <w:left w:val="nil"/>
              <w:bottom w:val="nil"/>
              <w:right w:val="nil"/>
            </w:tcBorders>
            <w:shd w:val="clear" w:color="auto" w:fill="auto"/>
            <w:vAlign w:val="center"/>
          </w:tcPr>
          <w:p w14:paraId="68DB5808">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b w:val="0"/>
                <w:bCs w:val="0"/>
                <w:i w:val="0"/>
                <w:iCs w:val="0"/>
                <w:color w:val="auto"/>
                <w:kern w:val="0"/>
                <w:sz w:val="21"/>
                <w:szCs w:val="21"/>
                <w:u w:val="none"/>
                <w:lang w:val="en-US" w:eastAsia="zh-CN" w:bidi="ar"/>
              </w:rPr>
            </w:pPr>
            <w:r>
              <w:rPr>
                <w:rStyle w:val="13"/>
                <w:rFonts w:hint="default"/>
                <w:b w:val="0"/>
                <w:bCs w:val="0"/>
                <w:color w:val="auto"/>
                <w:sz w:val="21"/>
                <w:szCs w:val="21"/>
              </w:rPr>
              <w:t>温度</w:t>
            </w:r>
            <w:r>
              <w:rPr>
                <w:rStyle w:val="13"/>
                <w:rFonts w:hint="eastAsia" w:eastAsia="宋体"/>
                <w:b w:val="0"/>
                <w:bCs w:val="0"/>
                <w:color w:val="auto"/>
                <w:sz w:val="21"/>
                <w:szCs w:val="21"/>
                <w:lang w:eastAsia="zh-CN"/>
              </w:rPr>
              <w:t>（</w:t>
            </w:r>
            <w:r>
              <w:rPr>
                <w:rFonts w:hint="eastAsia" w:ascii="宋体" w:hAnsi="宋体" w:eastAsia="宋体" w:cs="宋体"/>
                <w:b w:val="0"/>
                <w:bCs w:val="0"/>
                <w:color w:val="auto"/>
                <w:kern w:val="0"/>
                <w:sz w:val="21"/>
                <w:szCs w:val="21"/>
              </w:rPr>
              <w:t>检测温度最低温度-80℃</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eastAsia="zh-CN"/>
              </w:rPr>
              <w:t>单台</w:t>
            </w:r>
            <w:r>
              <w:rPr>
                <w:rFonts w:hint="eastAsia" w:ascii="宋体" w:hAnsi="宋体" w:eastAsia="宋体" w:cs="宋体"/>
                <w:b w:val="0"/>
                <w:bCs w:val="0"/>
                <w:color w:val="auto"/>
                <w:kern w:val="0"/>
                <w:sz w:val="21"/>
                <w:szCs w:val="21"/>
              </w:rPr>
              <w:t>检测点位数</w:t>
            </w:r>
            <w:r>
              <w:rPr>
                <w:rFonts w:hint="eastAsia" w:ascii="宋体" w:hAnsi="宋体" w:eastAsia="宋体" w:cs="宋体"/>
                <w:b w:val="0"/>
                <w:bCs w:val="0"/>
                <w:color w:val="auto"/>
                <w:kern w:val="0"/>
                <w:sz w:val="21"/>
                <w:szCs w:val="21"/>
                <w:lang w:eastAsia="zh-CN"/>
              </w:rPr>
              <w:t>按</w:t>
            </w:r>
            <w:r>
              <w:rPr>
                <w:rFonts w:hint="eastAsia" w:ascii="宋体" w:hAnsi="宋体" w:eastAsia="宋体" w:cs="宋体"/>
                <w:b w:val="0"/>
                <w:bCs w:val="0"/>
                <w:color w:val="auto"/>
                <w:kern w:val="0"/>
                <w:sz w:val="21"/>
                <w:szCs w:val="21"/>
              </w:rPr>
              <w:t>需增加，不另加价</w:t>
            </w:r>
            <w:r>
              <w:rPr>
                <w:rFonts w:hint="eastAsia" w:ascii="宋体" w:hAnsi="宋体" w:eastAsia="宋体" w:cs="宋体"/>
                <w:b w:val="0"/>
                <w:bCs w:val="0"/>
                <w:color w:val="auto"/>
                <w:kern w:val="0"/>
                <w:sz w:val="21"/>
                <w:szCs w:val="21"/>
                <w:lang w:eastAsia="zh-CN"/>
              </w:rPr>
              <w:t>）、湿度（如需）</w:t>
            </w:r>
          </w:p>
        </w:tc>
        <w:tc>
          <w:tcPr>
            <w:tcW w:w="700" w:type="dxa"/>
            <w:tcBorders>
              <w:top w:val="nil"/>
              <w:left w:val="nil"/>
              <w:bottom w:val="nil"/>
              <w:right w:val="nil"/>
            </w:tcBorders>
            <w:shd w:val="clear" w:color="auto" w:fill="auto"/>
            <w:vAlign w:val="center"/>
          </w:tcPr>
          <w:p w14:paraId="2DA888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4355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2DC53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2208" w:type="dxa"/>
            <w:tcBorders>
              <w:top w:val="nil"/>
              <w:left w:val="nil"/>
              <w:bottom w:val="nil"/>
              <w:right w:val="nil"/>
            </w:tcBorders>
            <w:shd w:val="clear" w:color="auto" w:fill="auto"/>
            <w:vAlign w:val="center"/>
          </w:tcPr>
          <w:p w14:paraId="589C3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水浴锅</w:t>
            </w:r>
          </w:p>
        </w:tc>
        <w:tc>
          <w:tcPr>
            <w:tcW w:w="600" w:type="dxa"/>
            <w:tcBorders>
              <w:top w:val="nil"/>
              <w:left w:val="nil"/>
              <w:bottom w:val="nil"/>
              <w:right w:val="nil"/>
            </w:tcBorders>
            <w:shd w:val="clear" w:color="auto" w:fill="auto"/>
            <w:vAlign w:val="center"/>
          </w:tcPr>
          <w:p w14:paraId="28673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16</w:t>
            </w:r>
          </w:p>
        </w:tc>
        <w:tc>
          <w:tcPr>
            <w:tcW w:w="740" w:type="dxa"/>
            <w:tcBorders>
              <w:top w:val="nil"/>
              <w:left w:val="nil"/>
              <w:bottom w:val="nil"/>
              <w:right w:val="nil"/>
            </w:tcBorders>
            <w:shd w:val="clear" w:color="auto" w:fill="auto"/>
            <w:vAlign w:val="center"/>
          </w:tcPr>
          <w:p w14:paraId="0F02C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250</w:t>
            </w:r>
          </w:p>
        </w:tc>
        <w:tc>
          <w:tcPr>
            <w:tcW w:w="4220" w:type="dxa"/>
            <w:tcBorders>
              <w:top w:val="nil"/>
              <w:left w:val="nil"/>
              <w:bottom w:val="nil"/>
              <w:right w:val="nil"/>
            </w:tcBorders>
            <w:shd w:val="clear" w:color="auto" w:fill="auto"/>
            <w:vAlign w:val="center"/>
          </w:tcPr>
          <w:p w14:paraId="444AB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p>
        </w:tc>
        <w:tc>
          <w:tcPr>
            <w:tcW w:w="700" w:type="dxa"/>
            <w:tcBorders>
              <w:top w:val="nil"/>
              <w:left w:val="nil"/>
              <w:bottom w:val="nil"/>
              <w:right w:val="nil"/>
            </w:tcBorders>
            <w:shd w:val="clear" w:color="auto" w:fill="auto"/>
            <w:vAlign w:val="center"/>
          </w:tcPr>
          <w:p w14:paraId="76CA4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3C1C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26D1CC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2208" w:type="dxa"/>
            <w:tcBorders>
              <w:top w:val="nil"/>
              <w:left w:val="nil"/>
              <w:bottom w:val="nil"/>
              <w:right w:val="nil"/>
            </w:tcBorders>
            <w:shd w:val="clear" w:color="auto" w:fill="auto"/>
            <w:vAlign w:val="center"/>
          </w:tcPr>
          <w:p w14:paraId="66B647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干式恒温器</w:t>
            </w:r>
          </w:p>
        </w:tc>
        <w:tc>
          <w:tcPr>
            <w:tcW w:w="600" w:type="dxa"/>
            <w:tcBorders>
              <w:top w:val="nil"/>
              <w:left w:val="nil"/>
              <w:bottom w:val="nil"/>
              <w:right w:val="nil"/>
            </w:tcBorders>
            <w:shd w:val="clear" w:color="auto" w:fill="auto"/>
            <w:vAlign w:val="center"/>
          </w:tcPr>
          <w:p w14:paraId="7D031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w:t>
            </w:r>
          </w:p>
        </w:tc>
        <w:tc>
          <w:tcPr>
            <w:tcW w:w="740" w:type="dxa"/>
            <w:tcBorders>
              <w:top w:val="nil"/>
              <w:left w:val="nil"/>
              <w:bottom w:val="nil"/>
              <w:right w:val="nil"/>
            </w:tcBorders>
            <w:shd w:val="clear" w:color="auto" w:fill="auto"/>
            <w:vAlign w:val="center"/>
          </w:tcPr>
          <w:p w14:paraId="682834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250</w:t>
            </w:r>
          </w:p>
        </w:tc>
        <w:tc>
          <w:tcPr>
            <w:tcW w:w="4220" w:type="dxa"/>
            <w:tcBorders>
              <w:top w:val="nil"/>
              <w:left w:val="nil"/>
              <w:bottom w:val="nil"/>
              <w:right w:val="nil"/>
            </w:tcBorders>
            <w:shd w:val="clear" w:color="auto" w:fill="auto"/>
            <w:vAlign w:val="center"/>
          </w:tcPr>
          <w:p w14:paraId="3C0EE3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p>
        </w:tc>
        <w:tc>
          <w:tcPr>
            <w:tcW w:w="700" w:type="dxa"/>
            <w:tcBorders>
              <w:top w:val="nil"/>
              <w:left w:val="nil"/>
              <w:bottom w:val="nil"/>
              <w:right w:val="nil"/>
            </w:tcBorders>
            <w:shd w:val="clear" w:color="auto" w:fill="auto"/>
            <w:vAlign w:val="center"/>
          </w:tcPr>
          <w:p w14:paraId="261661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17A7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3AB5B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2208" w:type="dxa"/>
            <w:tcBorders>
              <w:top w:val="nil"/>
              <w:left w:val="nil"/>
              <w:bottom w:val="nil"/>
              <w:right w:val="nil"/>
            </w:tcBorders>
            <w:shd w:val="clear" w:color="auto" w:fill="auto"/>
            <w:vAlign w:val="center"/>
          </w:tcPr>
          <w:p w14:paraId="601AE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烘烤箱</w:t>
            </w:r>
          </w:p>
        </w:tc>
        <w:tc>
          <w:tcPr>
            <w:tcW w:w="600" w:type="dxa"/>
            <w:tcBorders>
              <w:top w:val="nil"/>
              <w:left w:val="nil"/>
              <w:bottom w:val="nil"/>
              <w:right w:val="nil"/>
            </w:tcBorders>
            <w:shd w:val="clear" w:color="auto" w:fill="auto"/>
            <w:vAlign w:val="center"/>
          </w:tcPr>
          <w:p w14:paraId="7866C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40" w:type="dxa"/>
            <w:tcBorders>
              <w:top w:val="nil"/>
              <w:left w:val="nil"/>
              <w:bottom w:val="nil"/>
              <w:right w:val="nil"/>
            </w:tcBorders>
            <w:shd w:val="clear" w:color="auto" w:fill="auto"/>
            <w:vAlign w:val="center"/>
          </w:tcPr>
          <w:p w14:paraId="2B728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250</w:t>
            </w:r>
          </w:p>
        </w:tc>
        <w:tc>
          <w:tcPr>
            <w:tcW w:w="4220" w:type="dxa"/>
            <w:tcBorders>
              <w:top w:val="nil"/>
              <w:left w:val="nil"/>
              <w:bottom w:val="nil"/>
              <w:right w:val="nil"/>
            </w:tcBorders>
            <w:shd w:val="clear" w:color="auto" w:fill="auto"/>
            <w:vAlign w:val="center"/>
          </w:tcPr>
          <w:p w14:paraId="0B3A7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p>
        </w:tc>
        <w:tc>
          <w:tcPr>
            <w:tcW w:w="700" w:type="dxa"/>
            <w:tcBorders>
              <w:top w:val="nil"/>
              <w:left w:val="nil"/>
              <w:bottom w:val="nil"/>
              <w:right w:val="nil"/>
            </w:tcBorders>
            <w:shd w:val="clear" w:color="auto" w:fill="auto"/>
            <w:vAlign w:val="center"/>
          </w:tcPr>
          <w:p w14:paraId="7C0AE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7CA8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4A16A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w:t>
            </w:r>
          </w:p>
        </w:tc>
        <w:tc>
          <w:tcPr>
            <w:tcW w:w="2208" w:type="dxa"/>
            <w:tcBorders>
              <w:top w:val="nil"/>
              <w:left w:val="nil"/>
              <w:bottom w:val="nil"/>
              <w:right w:val="nil"/>
            </w:tcBorders>
            <w:shd w:val="clear" w:color="auto" w:fill="auto"/>
            <w:vAlign w:val="center"/>
          </w:tcPr>
          <w:p w14:paraId="56931B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恒温混匀仪</w:t>
            </w:r>
          </w:p>
        </w:tc>
        <w:tc>
          <w:tcPr>
            <w:tcW w:w="600" w:type="dxa"/>
            <w:tcBorders>
              <w:top w:val="nil"/>
              <w:left w:val="nil"/>
              <w:bottom w:val="nil"/>
              <w:right w:val="nil"/>
            </w:tcBorders>
            <w:shd w:val="clear" w:color="auto" w:fill="auto"/>
            <w:vAlign w:val="center"/>
          </w:tcPr>
          <w:p w14:paraId="5A3737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0" w:type="dxa"/>
            <w:tcBorders>
              <w:top w:val="nil"/>
              <w:left w:val="nil"/>
              <w:bottom w:val="nil"/>
              <w:right w:val="nil"/>
            </w:tcBorders>
            <w:shd w:val="clear" w:color="auto" w:fill="auto"/>
            <w:vAlign w:val="center"/>
          </w:tcPr>
          <w:p w14:paraId="71403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250</w:t>
            </w:r>
          </w:p>
        </w:tc>
        <w:tc>
          <w:tcPr>
            <w:tcW w:w="4220" w:type="dxa"/>
            <w:tcBorders>
              <w:top w:val="nil"/>
              <w:left w:val="nil"/>
              <w:bottom w:val="nil"/>
              <w:right w:val="nil"/>
            </w:tcBorders>
            <w:shd w:val="clear" w:color="auto" w:fill="auto"/>
            <w:vAlign w:val="center"/>
          </w:tcPr>
          <w:p w14:paraId="60E2EF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p>
        </w:tc>
        <w:tc>
          <w:tcPr>
            <w:tcW w:w="700" w:type="dxa"/>
            <w:tcBorders>
              <w:top w:val="nil"/>
              <w:left w:val="nil"/>
              <w:bottom w:val="nil"/>
              <w:right w:val="nil"/>
            </w:tcBorders>
            <w:shd w:val="clear" w:color="auto" w:fill="auto"/>
            <w:vAlign w:val="center"/>
          </w:tcPr>
          <w:p w14:paraId="614E52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0E0A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5C858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2208" w:type="dxa"/>
            <w:tcBorders>
              <w:top w:val="nil"/>
              <w:left w:val="nil"/>
              <w:bottom w:val="nil"/>
              <w:right w:val="nil"/>
            </w:tcBorders>
            <w:shd w:val="clear" w:color="auto" w:fill="auto"/>
            <w:vAlign w:val="center"/>
          </w:tcPr>
          <w:p w14:paraId="19455F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恒温培养箱</w:t>
            </w:r>
          </w:p>
        </w:tc>
        <w:tc>
          <w:tcPr>
            <w:tcW w:w="600" w:type="dxa"/>
            <w:tcBorders>
              <w:top w:val="nil"/>
              <w:left w:val="nil"/>
              <w:bottom w:val="nil"/>
              <w:right w:val="nil"/>
            </w:tcBorders>
            <w:shd w:val="clear" w:color="auto" w:fill="auto"/>
            <w:vAlign w:val="center"/>
          </w:tcPr>
          <w:p w14:paraId="34528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740" w:type="dxa"/>
            <w:tcBorders>
              <w:top w:val="nil"/>
              <w:left w:val="nil"/>
              <w:bottom w:val="nil"/>
              <w:right w:val="nil"/>
            </w:tcBorders>
            <w:shd w:val="clear" w:color="auto" w:fill="auto"/>
            <w:vAlign w:val="center"/>
          </w:tcPr>
          <w:p w14:paraId="2FAF37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250</w:t>
            </w:r>
          </w:p>
        </w:tc>
        <w:tc>
          <w:tcPr>
            <w:tcW w:w="4220" w:type="dxa"/>
            <w:tcBorders>
              <w:top w:val="nil"/>
              <w:left w:val="nil"/>
              <w:bottom w:val="nil"/>
              <w:right w:val="nil"/>
            </w:tcBorders>
            <w:shd w:val="clear" w:color="auto" w:fill="auto"/>
            <w:vAlign w:val="center"/>
          </w:tcPr>
          <w:p w14:paraId="7BBBE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p>
        </w:tc>
        <w:tc>
          <w:tcPr>
            <w:tcW w:w="700" w:type="dxa"/>
            <w:tcBorders>
              <w:top w:val="nil"/>
              <w:left w:val="nil"/>
              <w:bottom w:val="nil"/>
              <w:right w:val="nil"/>
            </w:tcBorders>
            <w:shd w:val="clear" w:color="auto" w:fill="auto"/>
            <w:vAlign w:val="center"/>
          </w:tcPr>
          <w:p w14:paraId="79FC8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09E8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00" w:type="dxa"/>
            <w:tcBorders>
              <w:top w:val="nil"/>
              <w:left w:val="nil"/>
              <w:bottom w:val="nil"/>
              <w:right w:val="nil"/>
            </w:tcBorders>
            <w:shd w:val="clear" w:color="auto" w:fill="auto"/>
            <w:noWrap/>
            <w:vAlign w:val="center"/>
          </w:tcPr>
          <w:p w14:paraId="29CEDC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w:t>
            </w:r>
          </w:p>
        </w:tc>
        <w:tc>
          <w:tcPr>
            <w:tcW w:w="2208" w:type="dxa"/>
            <w:tcBorders>
              <w:top w:val="nil"/>
              <w:left w:val="nil"/>
              <w:bottom w:val="nil"/>
              <w:right w:val="nil"/>
            </w:tcBorders>
            <w:shd w:val="clear" w:color="auto" w:fill="auto"/>
            <w:vAlign w:val="center"/>
          </w:tcPr>
          <w:p w14:paraId="09A45C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智能温(湿)度采集器</w:t>
            </w:r>
          </w:p>
        </w:tc>
        <w:tc>
          <w:tcPr>
            <w:tcW w:w="600" w:type="dxa"/>
            <w:tcBorders>
              <w:top w:val="nil"/>
              <w:left w:val="nil"/>
              <w:bottom w:val="nil"/>
              <w:right w:val="nil"/>
            </w:tcBorders>
            <w:shd w:val="clear" w:color="auto" w:fill="auto"/>
            <w:vAlign w:val="center"/>
          </w:tcPr>
          <w:p w14:paraId="4F2174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46</w:t>
            </w:r>
          </w:p>
        </w:tc>
        <w:tc>
          <w:tcPr>
            <w:tcW w:w="740" w:type="dxa"/>
            <w:tcBorders>
              <w:top w:val="nil"/>
              <w:left w:val="nil"/>
              <w:bottom w:val="nil"/>
              <w:right w:val="nil"/>
            </w:tcBorders>
            <w:shd w:val="clear" w:color="auto" w:fill="auto"/>
            <w:vAlign w:val="center"/>
          </w:tcPr>
          <w:p w14:paraId="2E201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120</w:t>
            </w:r>
          </w:p>
        </w:tc>
        <w:tc>
          <w:tcPr>
            <w:tcW w:w="4220" w:type="dxa"/>
            <w:tcBorders>
              <w:top w:val="nil"/>
              <w:left w:val="nil"/>
              <w:bottom w:val="nil"/>
              <w:right w:val="nil"/>
            </w:tcBorders>
            <w:shd w:val="clear" w:color="auto" w:fill="auto"/>
            <w:vAlign w:val="center"/>
          </w:tcPr>
          <w:p w14:paraId="2EE580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温度、湿度（如有）</w:t>
            </w:r>
          </w:p>
        </w:tc>
        <w:tc>
          <w:tcPr>
            <w:tcW w:w="700" w:type="dxa"/>
            <w:tcBorders>
              <w:top w:val="nil"/>
              <w:left w:val="nil"/>
              <w:bottom w:val="nil"/>
              <w:right w:val="nil"/>
            </w:tcBorders>
            <w:shd w:val="clear" w:color="auto" w:fill="auto"/>
            <w:vAlign w:val="center"/>
          </w:tcPr>
          <w:p w14:paraId="2ED79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21EAE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00" w:type="dxa"/>
            <w:tcBorders>
              <w:top w:val="nil"/>
              <w:left w:val="nil"/>
              <w:bottom w:val="nil"/>
              <w:right w:val="nil"/>
            </w:tcBorders>
            <w:shd w:val="clear" w:color="auto" w:fill="auto"/>
            <w:noWrap/>
            <w:vAlign w:val="center"/>
          </w:tcPr>
          <w:p w14:paraId="26480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2208" w:type="dxa"/>
            <w:tcBorders>
              <w:top w:val="nil"/>
              <w:left w:val="nil"/>
              <w:bottom w:val="nil"/>
              <w:right w:val="nil"/>
            </w:tcBorders>
            <w:shd w:val="clear" w:color="auto" w:fill="auto"/>
            <w:vAlign w:val="center"/>
          </w:tcPr>
          <w:p w14:paraId="74CE00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温（湿）度监控系统</w:t>
            </w:r>
          </w:p>
        </w:tc>
        <w:tc>
          <w:tcPr>
            <w:tcW w:w="600" w:type="dxa"/>
            <w:tcBorders>
              <w:top w:val="nil"/>
              <w:left w:val="nil"/>
              <w:bottom w:val="nil"/>
              <w:right w:val="nil"/>
            </w:tcBorders>
            <w:shd w:val="clear" w:color="auto" w:fill="auto"/>
            <w:vAlign w:val="center"/>
          </w:tcPr>
          <w:p w14:paraId="3D9A8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w:t>
            </w:r>
          </w:p>
        </w:tc>
        <w:tc>
          <w:tcPr>
            <w:tcW w:w="740" w:type="dxa"/>
            <w:tcBorders>
              <w:top w:val="nil"/>
              <w:left w:val="nil"/>
              <w:bottom w:val="nil"/>
              <w:right w:val="nil"/>
            </w:tcBorders>
            <w:shd w:val="clear" w:color="auto" w:fill="auto"/>
            <w:vAlign w:val="center"/>
          </w:tcPr>
          <w:p w14:paraId="4C188F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120</w:t>
            </w:r>
          </w:p>
        </w:tc>
        <w:tc>
          <w:tcPr>
            <w:tcW w:w="4220" w:type="dxa"/>
            <w:tcBorders>
              <w:top w:val="nil"/>
              <w:left w:val="nil"/>
              <w:bottom w:val="nil"/>
              <w:right w:val="nil"/>
            </w:tcBorders>
            <w:shd w:val="clear" w:color="auto" w:fill="auto"/>
            <w:vAlign w:val="center"/>
          </w:tcPr>
          <w:p w14:paraId="7AC92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温度、湿度（如有）</w:t>
            </w:r>
          </w:p>
        </w:tc>
        <w:tc>
          <w:tcPr>
            <w:tcW w:w="700" w:type="dxa"/>
            <w:tcBorders>
              <w:top w:val="nil"/>
              <w:left w:val="nil"/>
              <w:bottom w:val="nil"/>
              <w:right w:val="nil"/>
            </w:tcBorders>
            <w:shd w:val="clear" w:color="auto" w:fill="auto"/>
            <w:vAlign w:val="center"/>
          </w:tcPr>
          <w:p w14:paraId="48E47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2593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00" w:type="dxa"/>
            <w:tcBorders>
              <w:top w:val="nil"/>
              <w:left w:val="nil"/>
              <w:bottom w:val="nil"/>
              <w:right w:val="nil"/>
            </w:tcBorders>
            <w:shd w:val="clear" w:color="auto" w:fill="auto"/>
            <w:noWrap/>
            <w:vAlign w:val="center"/>
          </w:tcPr>
          <w:p w14:paraId="1E770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11</w:t>
            </w:r>
          </w:p>
        </w:tc>
        <w:tc>
          <w:tcPr>
            <w:tcW w:w="2208" w:type="dxa"/>
            <w:tcBorders>
              <w:top w:val="nil"/>
              <w:left w:val="nil"/>
              <w:bottom w:val="nil"/>
              <w:right w:val="nil"/>
            </w:tcBorders>
            <w:shd w:val="clear" w:color="auto" w:fill="auto"/>
            <w:vAlign w:val="center"/>
          </w:tcPr>
          <w:p w14:paraId="5309C6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温湿度表</w:t>
            </w:r>
          </w:p>
        </w:tc>
        <w:tc>
          <w:tcPr>
            <w:tcW w:w="600" w:type="dxa"/>
            <w:tcBorders>
              <w:top w:val="nil"/>
              <w:left w:val="nil"/>
              <w:bottom w:val="nil"/>
              <w:right w:val="nil"/>
            </w:tcBorders>
            <w:shd w:val="clear" w:color="auto" w:fill="auto"/>
            <w:vAlign w:val="center"/>
          </w:tcPr>
          <w:p w14:paraId="330B3D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32</w:t>
            </w:r>
          </w:p>
        </w:tc>
        <w:tc>
          <w:tcPr>
            <w:tcW w:w="740" w:type="dxa"/>
            <w:tcBorders>
              <w:top w:val="nil"/>
              <w:left w:val="nil"/>
              <w:bottom w:val="nil"/>
              <w:right w:val="nil"/>
            </w:tcBorders>
            <w:shd w:val="clear" w:color="auto" w:fill="auto"/>
            <w:vAlign w:val="center"/>
          </w:tcPr>
          <w:p w14:paraId="57527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90</w:t>
            </w:r>
          </w:p>
        </w:tc>
        <w:tc>
          <w:tcPr>
            <w:tcW w:w="4220" w:type="dxa"/>
            <w:tcBorders>
              <w:top w:val="nil"/>
              <w:left w:val="nil"/>
              <w:bottom w:val="nil"/>
              <w:right w:val="nil"/>
            </w:tcBorders>
            <w:shd w:val="clear" w:color="auto" w:fill="auto"/>
            <w:vAlign w:val="center"/>
          </w:tcPr>
          <w:p w14:paraId="578AE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温度、湿度</w:t>
            </w:r>
          </w:p>
        </w:tc>
        <w:tc>
          <w:tcPr>
            <w:tcW w:w="700" w:type="dxa"/>
            <w:tcBorders>
              <w:top w:val="nil"/>
              <w:left w:val="nil"/>
              <w:bottom w:val="nil"/>
              <w:right w:val="nil"/>
            </w:tcBorders>
            <w:shd w:val="clear" w:color="auto" w:fill="auto"/>
            <w:vAlign w:val="center"/>
          </w:tcPr>
          <w:p w14:paraId="76344F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3E1D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3F791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12</w:t>
            </w:r>
          </w:p>
        </w:tc>
        <w:tc>
          <w:tcPr>
            <w:tcW w:w="2208" w:type="dxa"/>
            <w:tcBorders>
              <w:top w:val="nil"/>
              <w:left w:val="nil"/>
              <w:bottom w:val="nil"/>
              <w:right w:val="nil"/>
            </w:tcBorders>
            <w:shd w:val="clear" w:color="auto" w:fill="auto"/>
            <w:vAlign w:val="center"/>
          </w:tcPr>
          <w:p w14:paraId="5FE9AF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温湿度计</w:t>
            </w:r>
          </w:p>
        </w:tc>
        <w:tc>
          <w:tcPr>
            <w:tcW w:w="600" w:type="dxa"/>
            <w:tcBorders>
              <w:top w:val="nil"/>
              <w:left w:val="nil"/>
              <w:bottom w:val="nil"/>
              <w:right w:val="nil"/>
            </w:tcBorders>
            <w:shd w:val="clear" w:color="auto" w:fill="auto"/>
            <w:vAlign w:val="center"/>
          </w:tcPr>
          <w:p w14:paraId="3C6B01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98</w:t>
            </w:r>
          </w:p>
        </w:tc>
        <w:tc>
          <w:tcPr>
            <w:tcW w:w="740" w:type="dxa"/>
            <w:tcBorders>
              <w:top w:val="nil"/>
              <w:left w:val="nil"/>
              <w:bottom w:val="nil"/>
              <w:right w:val="nil"/>
            </w:tcBorders>
            <w:shd w:val="clear" w:color="auto" w:fill="auto"/>
            <w:vAlign w:val="center"/>
          </w:tcPr>
          <w:p w14:paraId="07CFF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90</w:t>
            </w:r>
          </w:p>
        </w:tc>
        <w:tc>
          <w:tcPr>
            <w:tcW w:w="4220" w:type="dxa"/>
            <w:tcBorders>
              <w:top w:val="nil"/>
              <w:left w:val="nil"/>
              <w:bottom w:val="nil"/>
              <w:right w:val="nil"/>
            </w:tcBorders>
            <w:shd w:val="clear" w:color="auto" w:fill="auto"/>
            <w:vAlign w:val="center"/>
          </w:tcPr>
          <w:p w14:paraId="4EA08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温度、湿度</w:t>
            </w:r>
          </w:p>
        </w:tc>
        <w:tc>
          <w:tcPr>
            <w:tcW w:w="700" w:type="dxa"/>
            <w:tcBorders>
              <w:top w:val="nil"/>
              <w:left w:val="nil"/>
              <w:bottom w:val="nil"/>
              <w:right w:val="nil"/>
            </w:tcBorders>
            <w:shd w:val="clear" w:color="auto" w:fill="auto"/>
            <w:vAlign w:val="center"/>
          </w:tcPr>
          <w:p w14:paraId="4830A8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6D1E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5940DC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13</w:t>
            </w:r>
          </w:p>
        </w:tc>
        <w:tc>
          <w:tcPr>
            <w:tcW w:w="2208" w:type="dxa"/>
            <w:tcBorders>
              <w:top w:val="nil"/>
              <w:left w:val="nil"/>
              <w:bottom w:val="nil"/>
              <w:right w:val="nil"/>
            </w:tcBorders>
            <w:shd w:val="clear" w:color="auto" w:fill="auto"/>
            <w:vAlign w:val="center"/>
          </w:tcPr>
          <w:p w14:paraId="4FBA13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红外体温计</w:t>
            </w:r>
          </w:p>
        </w:tc>
        <w:tc>
          <w:tcPr>
            <w:tcW w:w="600" w:type="dxa"/>
            <w:tcBorders>
              <w:top w:val="nil"/>
              <w:left w:val="nil"/>
              <w:bottom w:val="nil"/>
              <w:right w:val="nil"/>
            </w:tcBorders>
            <w:shd w:val="clear" w:color="auto" w:fill="auto"/>
            <w:vAlign w:val="center"/>
          </w:tcPr>
          <w:p w14:paraId="51339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19</w:t>
            </w:r>
          </w:p>
        </w:tc>
        <w:tc>
          <w:tcPr>
            <w:tcW w:w="740" w:type="dxa"/>
            <w:tcBorders>
              <w:top w:val="nil"/>
              <w:left w:val="nil"/>
              <w:bottom w:val="nil"/>
              <w:right w:val="nil"/>
            </w:tcBorders>
            <w:shd w:val="clear" w:color="auto" w:fill="auto"/>
            <w:vAlign w:val="center"/>
          </w:tcPr>
          <w:p w14:paraId="4A5AE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70</w:t>
            </w:r>
          </w:p>
        </w:tc>
        <w:tc>
          <w:tcPr>
            <w:tcW w:w="4220" w:type="dxa"/>
            <w:tcBorders>
              <w:top w:val="nil"/>
              <w:left w:val="nil"/>
              <w:bottom w:val="nil"/>
              <w:right w:val="nil"/>
            </w:tcBorders>
            <w:shd w:val="clear" w:color="auto" w:fill="auto"/>
            <w:vAlign w:val="center"/>
          </w:tcPr>
          <w:p w14:paraId="4266DE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p>
        </w:tc>
        <w:tc>
          <w:tcPr>
            <w:tcW w:w="700" w:type="dxa"/>
            <w:tcBorders>
              <w:top w:val="nil"/>
              <w:left w:val="nil"/>
              <w:bottom w:val="nil"/>
              <w:right w:val="nil"/>
            </w:tcBorders>
            <w:shd w:val="clear" w:color="auto" w:fill="auto"/>
            <w:vAlign w:val="center"/>
          </w:tcPr>
          <w:p w14:paraId="75697C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398B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1E0078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14</w:t>
            </w:r>
          </w:p>
        </w:tc>
        <w:tc>
          <w:tcPr>
            <w:tcW w:w="2208" w:type="dxa"/>
            <w:tcBorders>
              <w:top w:val="nil"/>
              <w:left w:val="nil"/>
              <w:bottom w:val="nil"/>
              <w:right w:val="nil"/>
            </w:tcBorders>
            <w:shd w:val="clear" w:color="auto" w:fill="auto"/>
            <w:vAlign w:val="center"/>
          </w:tcPr>
          <w:p w14:paraId="52DAB2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电子体温计</w:t>
            </w:r>
          </w:p>
        </w:tc>
        <w:tc>
          <w:tcPr>
            <w:tcW w:w="600" w:type="dxa"/>
            <w:tcBorders>
              <w:top w:val="nil"/>
              <w:left w:val="nil"/>
              <w:bottom w:val="nil"/>
              <w:right w:val="nil"/>
            </w:tcBorders>
            <w:shd w:val="clear" w:color="auto" w:fill="auto"/>
            <w:vAlign w:val="center"/>
          </w:tcPr>
          <w:p w14:paraId="36A65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40" w:type="dxa"/>
            <w:tcBorders>
              <w:top w:val="nil"/>
              <w:left w:val="nil"/>
              <w:bottom w:val="nil"/>
              <w:right w:val="nil"/>
            </w:tcBorders>
            <w:shd w:val="clear" w:color="auto" w:fill="auto"/>
            <w:vAlign w:val="center"/>
          </w:tcPr>
          <w:p w14:paraId="4CAF8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70</w:t>
            </w:r>
          </w:p>
        </w:tc>
        <w:tc>
          <w:tcPr>
            <w:tcW w:w="4220" w:type="dxa"/>
            <w:tcBorders>
              <w:top w:val="nil"/>
              <w:left w:val="nil"/>
              <w:bottom w:val="nil"/>
              <w:right w:val="nil"/>
            </w:tcBorders>
            <w:shd w:val="clear" w:color="auto" w:fill="auto"/>
            <w:vAlign w:val="center"/>
          </w:tcPr>
          <w:p w14:paraId="1E2DD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p>
        </w:tc>
        <w:tc>
          <w:tcPr>
            <w:tcW w:w="700" w:type="dxa"/>
            <w:tcBorders>
              <w:top w:val="nil"/>
              <w:left w:val="nil"/>
              <w:bottom w:val="nil"/>
              <w:right w:val="nil"/>
            </w:tcBorders>
            <w:shd w:val="clear" w:color="auto" w:fill="auto"/>
            <w:vAlign w:val="center"/>
          </w:tcPr>
          <w:p w14:paraId="5D1E2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79C7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6211E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15</w:t>
            </w:r>
          </w:p>
        </w:tc>
        <w:tc>
          <w:tcPr>
            <w:tcW w:w="2208" w:type="dxa"/>
            <w:tcBorders>
              <w:top w:val="nil"/>
              <w:left w:val="nil"/>
              <w:bottom w:val="nil"/>
              <w:right w:val="nil"/>
            </w:tcBorders>
            <w:shd w:val="clear" w:color="auto" w:fill="auto"/>
            <w:vAlign w:val="center"/>
          </w:tcPr>
          <w:p w14:paraId="08D68B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煤油温度计</w:t>
            </w:r>
          </w:p>
        </w:tc>
        <w:tc>
          <w:tcPr>
            <w:tcW w:w="600" w:type="dxa"/>
            <w:tcBorders>
              <w:top w:val="nil"/>
              <w:left w:val="nil"/>
              <w:bottom w:val="nil"/>
              <w:right w:val="nil"/>
            </w:tcBorders>
            <w:shd w:val="clear" w:color="auto" w:fill="auto"/>
            <w:vAlign w:val="center"/>
          </w:tcPr>
          <w:p w14:paraId="54ED7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w:t>
            </w:r>
          </w:p>
        </w:tc>
        <w:tc>
          <w:tcPr>
            <w:tcW w:w="740" w:type="dxa"/>
            <w:tcBorders>
              <w:top w:val="nil"/>
              <w:left w:val="nil"/>
              <w:bottom w:val="nil"/>
              <w:right w:val="nil"/>
            </w:tcBorders>
            <w:shd w:val="clear" w:color="auto" w:fill="auto"/>
            <w:vAlign w:val="center"/>
          </w:tcPr>
          <w:p w14:paraId="2A5615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70</w:t>
            </w:r>
          </w:p>
        </w:tc>
        <w:tc>
          <w:tcPr>
            <w:tcW w:w="4220" w:type="dxa"/>
            <w:tcBorders>
              <w:top w:val="nil"/>
              <w:left w:val="nil"/>
              <w:bottom w:val="nil"/>
              <w:right w:val="nil"/>
            </w:tcBorders>
            <w:shd w:val="clear" w:color="auto" w:fill="auto"/>
            <w:vAlign w:val="center"/>
          </w:tcPr>
          <w:p w14:paraId="1A7DE0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p>
        </w:tc>
        <w:tc>
          <w:tcPr>
            <w:tcW w:w="700" w:type="dxa"/>
            <w:tcBorders>
              <w:top w:val="nil"/>
              <w:left w:val="nil"/>
              <w:bottom w:val="nil"/>
              <w:right w:val="nil"/>
            </w:tcBorders>
            <w:shd w:val="clear" w:color="auto" w:fill="auto"/>
            <w:vAlign w:val="center"/>
          </w:tcPr>
          <w:p w14:paraId="021D31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45BF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nil"/>
              <w:left w:val="nil"/>
              <w:bottom w:val="nil"/>
              <w:right w:val="nil"/>
            </w:tcBorders>
            <w:shd w:val="clear" w:color="auto" w:fill="auto"/>
            <w:noWrap/>
            <w:vAlign w:val="center"/>
          </w:tcPr>
          <w:p w14:paraId="77407B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16</w:t>
            </w:r>
          </w:p>
        </w:tc>
        <w:tc>
          <w:tcPr>
            <w:tcW w:w="2208" w:type="dxa"/>
            <w:tcBorders>
              <w:top w:val="nil"/>
              <w:left w:val="nil"/>
              <w:bottom w:val="nil"/>
              <w:right w:val="nil"/>
            </w:tcBorders>
            <w:shd w:val="clear" w:color="auto" w:fill="auto"/>
            <w:vAlign w:val="center"/>
          </w:tcPr>
          <w:p w14:paraId="33148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玻璃液体温度计</w:t>
            </w:r>
          </w:p>
        </w:tc>
        <w:tc>
          <w:tcPr>
            <w:tcW w:w="600" w:type="dxa"/>
            <w:tcBorders>
              <w:top w:val="nil"/>
              <w:left w:val="nil"/>
              <w:bottom w:val="nil"/>
              <w:right w:val="nil"/>
            </w:tcBorders>
            <w:shd w:val="clear" w:color="auto" w:fill="auto"/>
            <w:vAlign w:val="center"/>
          </w:tcPr>
          <w:p w14:paraId="30D8FA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740" w:type="dxa"/>
            <w:tcBorders>
              <w:top w:val="nil"/>
              <w:left w:val="nil"/>
              <w:bottom w:val="nil"/>
              <w:right w:val="nil"/>
            </w:tcBorders>
            <w:shd w:val="clear" w:color="auto" w:fill="auto"/>
            <w:vAlign w:val="center"/>
          </w:tcPr>
          <w:p w14:paraId="02561F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30</w:t>
            </w:r>
          </w:p>
        </w:tc>
        <w:tc>
          <w:tcPr>
            <w:tcW w:w="4220" w:type="dxa"/>
            <w:tcBorders>
              <w:top w:val="nil"/>
              <w:left w:val="nil"/>
              <w:bottom w:val="nil"/>
              <w:right w:val="nil"/>
            </w:tcBorders>
            <w:shd w:val="clear" w:color="auto" w:fill="auto"/>
            <w:vAlign w:val="center"/>
          </w:tcPr>
          <w:p w14:paraId="37C43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p>
        </w:tc>
        <w:tc>
          <w:tcPr>
            <w:tcW w:w="700" w:type="dxa"/>
            <w:tcBorders>
              <w:top w:val="nil"/>
              <w:left w:val="nil"/>
              <w:bottom w:val="nil"/>
              <w:right w:val="nil"/>
            </w:tcBorders>
            <w:shd w:val="clear" w:color="auto" w:fill="auto"/>
            <w:vAlign w:val="center"/>
          </w:tcPr>
          <w:p w14:paraId="7DC99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41D5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nil"/>
              <w:left w:val="nil"/>
              <w:bottom w:val="nil"/>
              <w:right w:val="nil"/>
            </w:tcBorders>
            <w:shd w:val="clear" w:color="auto" w:fill="auto"/>
            <w:noWrap/>
            <w:vAlign w:val="center"/>
          </w:tcPr>
          <w:p w14:paraId="0C44AD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17</w:t>
            </w:r>
          </w:p>
        </w:tc>
        <w:tc>
          <w:tcPr>
            <w:tcW w:w="2208" w:type="dxa"/>
            <w:tcBorders>
              <w:top w:val="nil"/>
              <w:left w:val="nil"/>
              <w:bottom w:val="nil"/>
              <w:right w:val="nil"/>
            </w:tcBorders>
            <w:shd w:val="clear" w:color="auto" w:fill="auto"/>
            <w:vAlign w:val="center"/>
          </w:tcPr>
          <w:p w14:paraId="1B990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蒸汽灭菌器</w:t>
            </w:r>
          </w:p>
        </w:tc>
        <w:tc>
          <w:tcPr>
            <w:tcW w:w="600" w:type="dxa"/>
            <w:tcBorders>
              <w:top w:val="nil"/>
              <w:left w:val="nil"/>
              <w:bottom w:val="nil"/>
              <w:right w:val="nil"/>
            </w:tcBorders>
            <w:shd w:val="clear" w:color="auto" w:fill="auto"/>
            <w:vAlign w:val="center"/>
          </w:tcPr>
          <w:p w14:paraId="1C988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740" w:type="dxa"/>
            <w:tcBorders>
              <w:top w:val="nil"/>
              <w:left w:val="nil"/>
              <w:bottom w:val="nil"/>
              <w:right w:val="nil"/>
            </w:tcBorders>
            <w:shd w:val="clear" w:color="auto" w:fill="auto"/>
            <w:vAlign w:val="center"/>
          </w:tcPr>
          <w:p w14:paraId="13BE03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300</w:t>
            </w:r>
          </w:p>
        </w:tc>
        <w:tc>
          <w:tcPr>
            <w:tcW w:w="4220" w:type="dxa"/>
            <w:tcBorders>
              <w:top w:val="nil"/>
              <w:left w:val="nil"/>
              <w:bottom w:val="nil"/>
              <w:right w:val="nil"/>
            </w:tcBorders>
            <w:shd w:val="clear" w:color="auto" w:fill="auto"/>
            <w:vAlign w:val="center"/>
          </w:tcPr>
          <w:p w14:paraId="05EAD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温度、压力,</w:t>
            </w:r>
            <w:r>
              <w:rPr>
                <w:rFonts w:hint="eastAsia" w:ascii="宋体" w:hAnsi="宋体" w:eastAsia="宋体" w:cs="宋体"/>
                <w:b w:val="0"/>
                <w:bCs w:val="0"/>
                <w:i w:val="0"/>
                <w:iCs w:val="0"/>
                <w:color w:val="auto"/>
                <w:kern w:val="0"/>
                <w:sz w:val="21"/>
                <w:szCs w:val="21"/>
                <w:u w:val="none"/>
                <w:lang w:val="en-US" w:eastAsia="zh-CN" w:bidi="ar"/>
              </w:rPr>
              <w:t>检测依据应体现“蒸汽灭菌器”</w:t>
            </w:r>
          </w:p>
        </w:tc>
        <w:tc>
          <w:tcPr>
            <w:tcW w:w="700" w:type="dxa"/>
            <w:tcBorders>
              <w:top w:val="nil"/>
              <w:left w:val="nil"/>
              <w:bottom w:val="nil"/>
              <w:right w:val="nil"/>
            </w:tcBorders>
            <w:shd w:val="clear" w:color="auto" w:fill="auto"/>
            <w:vAlign w:val="center"/>
          </w:tcPr>
          <w:p w14:paraId="257C7C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0F24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00" w:type="dxa"/>
            <w:tcBorders>
              <w:top w:val="nil"/>
              <w:left w:val="nil"/>
              <w:bottom w:val="nil"/>
              <w:right w:val="nil"/>
            </w:tcBorders>
            <w:shd w:val="clear" w:color="auto" w:fill="auto"/>
            <w:noWrap/>
            <w:vAlign w:val="center"/>
          </w:tcPr>
          <w:p w14:paraId="75B63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18</w:t>
            </w:r>
          </w:p>
        </w:tc>
        <w:tc>
          <w:tcPr>
            <w:tcW w:w="2208" w:type="dxa"/>
            <w:tcBorders>
              <w:top w:val="nil"/>
              <w:left w:val="nil"/>
              <w:bottom w:val="nil"/>
              <w:right w:val="nil"/>
            </w:tcBorders>
            <w:shd w:val="clear" w:color="auto" w:fill="auto"/>
            <w:vAlign w:val="center"/>
          </w:tcPr>
          <w:p w14:paraId="6F5F6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大型压力蒸汽灭菌器</w:t>
            </w:r>
          </w:p>
        </w:tc>
        <w:tc>
          <w:tcPr>
            <w:tcW w:w="600" w:type="dxa"/>
            <w:tcBorders>
              <w:top w:val="nil"/>
              <w:left w:val="nil"/>
              <w:bottom w:val="nil"/>
              <w:right w:val="nil"/>
            </w:tcBorders>
            <w:shd w:val="clear" w:color="auto" w:fill="auto"/>
            <w:vAlign w:val="center"/>
          </w:tcPr>
          <w:p w14:paraId="1343A7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740" w:type="dxa"/>
            <w:tcBorders>
              <w:top w:val="nil"/>
              <w:left w:val="nil"/>
              <w:bottom w:val="nil"/>
              <w:right w:val="nil"/>
            </w:tcBorders>
            <w:shd w:val="clear" w:color="auto" w:fill="auto"/>
            <w:vAlign w:val="center"/>
          </w:tcPr>
          <w:p w14:paraId="05F29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450</w:t>
            </w:r>
          </w:p>
        </w:tc>
        <w:tc>
          <w:tcPr>
            <w:tcW w:w="4220" w:type="dxa"/>
            <w:tcBorders>
              <w:top w:val="nil"/>
              <w:left w:val="nil"/>
              <w:bottom w:val="nil"/>
              <w:right w:val="nil"/>
            </w:tcBorders>
            <w:shd w:val="clear" w:color="auto" w:fill="auto"/>
            <w:vAlign w:val="center"/>
          </w:tcPr>
          <w:p w14:paraId="7E7B6216">
            <w:pPr>
              <w:keepNext w:val="0"/>
              <w:keepLines w:val="0"/>
              <w:widowControl/>
              <w:suppressLineNumbers w:val="0"/>
              <w:jc w:val="left"/>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温度、压力、时间,</w:t>
            </w:r>
            <w:r>
              <w:rPr>
                <w:rFonts w:hint="eastAsia" w:ascii="宋体" w:hAnsi="宋体" w:eastAsia="宋体" w:cs="宋体"/>
                <w:b w:val="0"/>
                <w:bCs w:val="0"/>
                <w:i w:val="0"/>
                <w:iCs w:val="0"/>
                <w:color w:val="auto"/>
                <w:kern w:val="0"/>
                <w:sz w:val="21"/>
                <w:szCs w:val="21"/>
                <w:u w:val="none"/>
                <w:lang w:val="en-US" w:eastAsia="zh-CN" w:bidi="ar"/>
              </w:rPr>
              <w:t>检测依据应体现“大型蒸汽灭菌器”</w:t>
            </w:r>
            <w:r>
              <w:rPr>
                <w:rFonts w:hint="eastAsia" w:ascii="宋体" w:hAnsi="宋体" w:eastAsia="宋体" w:cs="宋体"/>
                <w:b w:val="0"/>
                <w:bCs w:val="0"/>
                <w:i w:val="0"/>
                <w:iCs w:val="0"/>
                <w:color w:val="auto"/>
                <w:kern w:val="0"/>
                <w:sz w:val="21"/>
                <w:szCs w:val="21"/>
                <w:u w:val="none"/>
                <w:lang w:val="en-US" w:eastAsia="zh-CN" w:bidi="ar"/>
              </w:rPr>
              <w:t>。</w:t>
            </w:r>
            <w:r>
              <w:rPr>
                <w:rFonts w:ascii="FZSSK--GBK1-0" w:hAnsi="FZSSK--GBK1-0" w:eastAsia="FZSSK--GBK1-0" w:cs="FZSSK--GBK1-0"/>
                <w:b w:val="0"/>
                <w:bCs w:val="0"/>
                <w:color w:val="auto"/>
                <w:kern w:val="0"/>
                <w:sz w:val="22"/>
                <w:szCs w:val="22"/>
                <w:lang w:val="en-US" w:eastAsia="zh-CN" w:bidi="ar"/>
              </w:rPr>
              <w:t>温度</w:t>
            </w:r>
            <w:r>
              <w:rPr>
                <w:rFonts w:hint="eastAsia" w:ascii="FZSSK--GBK1-0" w:hAnsi="FZSSK--GBK1-0" w:eastAsia="宋体" w:cs="FZSSK--GBK1-0"/>
                <w:b w:val="0"/>
                <w:bCs w:val="0"/>
                <w:color w:val="auto"/>
                <w:kern w:val="0"/>
                <w:sz w:val="22"/>
                <w:szCs w:val="22"/>
                <w:lang w:val="en-US" w:eastAsia="zh-CN" w:bidi="ar"/>
              </w:rPr>
              <w:t>检测位</w:t>
            </w:r>
            <w:r>
              <w:rPr>
                <w:rFonts w:hint="eastAsia" w:ascii="FZSSK--GBK1-0" w:hAnsi="FZSSK--GBK1-0" w:eastAsia="FZSSK--GBK1-0" w:cs="FZSSK--GBK1-0"/>
                <w:b w:val="0"/>
                <w:bCs w:val="0"/>
                <w:color w:val="auto"/>
                <w:kern w:val="0"/>
                <w:sz w:val="22"/>
                <w:szCs w:val="22"/>
                <w:lang w:val="en-US" w:eastAsia="zh-CN" w:bidi="ar"/>
              </w:rPr>
              <w:t>≥</w:t>
            </w:r>
            <w:r>
              <w:rPr>
                <w:rFonts w:ascii="FZSSK--GBK1-0" w:hAnsi="FZSSK--GBK1-0" w:eastAsia="FZSSK--GBK1-0" w:cs="FZSSK--GBK1-0"/>
                <w:b w:val="0"/>
                <w:bCs w:val="0"/>
                <w:color w:val="auto"/>
                <w:kern w:val="0"/>
                <w:sz w:val="22"/>
                <w:szCs w:val="22"/>
                <w:lang w:val="en-US" w:eastAsia="zh-CN" w:bidi="ar"/>
              </w:rPr>
              <w:t xml:space="preserve"> </w:t>
            </w:r>
            <w:r>
              <w:rPr>
                <w:rFonts w:ascii="E-BZ" w:hAnsi="E-BZ" w:eastAsia="E-BZ" w:cs="E-BZ"/>
                <w:b w:val="0"/>
                <w:bCs w:val="0"/>
                <w:color w:val="auto"/>
                <w:kern w:val="0"/>
                <w:sz w:val="22"/>
                <w:szCs w:val="22"/>
                <w:lang w:val="en-US" w:eastAsia="zh-CN" w:bidi="ar"/>
              </w:rPr>
              <w:t xml:space="preserve">7 </w:t>
            </w:r>
            <w:r>
              <w:rPr>
                <w:rFonts w:hint="default" w:ascii="FZSSK--GBK1-0" w:hAnsi="FZSSK--GBK1-0" w:eastAsia="FZSSK--GBK1-0" w:cs="FZSSK--GBK1-0"/>
                <w:b w:val="0"/>
                <w:bCs w:val="0"/>
                <w:color w:val="auto"/>
                <w:kern w:val="0"/>
                <w:sz w:val="22"/>
                <w:szCs w:val="22"/>
                <w:lang w:val="en-US" w:eastAsia="zh-CN" w:bidi="ar"/>
              </w:rPr>
              <w:t>个</w:t>
            </w:r>
            <w:r>
              <w:rPr>
                <w:rFonts w:hint="eastAsia" w:ascii="宋体" w:hAnsi="宋体" w:eastAsia="宋体" w:cs="宋体"/>
                <w:b w:val="0"/>
                <w:bCs w:val="0"/>
                <w:i w:val="0"/>
                <w:iCs w:val="0"/>
                <w:color w:val="auto"/>
                <w:kern w:val="0"/>
                <w:sz w:val="21"/>
                <w:szCs w:val="21"/>
                <w:u w:val="none"/>
                <w:lang w:val="en-US" w:eastAsia="zh-CN" w:bidi="ar"/>
              </w:rPr>
              <w:t>，应使用标准测试包，测试包和灭菌器现场拍照留存，随证书一并提供，未提供的视同序号17</w:t>
            </w:r>
          </w:p>
        </w:tc>
        <w:tc>
          <w:tcPr>
            <w:tcW w:w="700" w:type="dxa"/>
            <w:tcBorders>
              <w:top w:val="nil"/>
              <w:left w:val="nil"/>
              <w:bottom w:val="nil"/>
              <w:right w:val="nil"/>
            </w:tcBorders>
            <w:shd w:val="clear" w:color="auto" w:fill="auto"/>
            <w:vAlign w:val="center"/>
          </w:tcPr>
          <w:p w14:paraId="25837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6ACA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39706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19</w:t>
            </w:r>
          </w:p>
        </w:tc>
        <w:tc>
          <w:tcPr>
            <w:tcW w:w="2208" w:type="dxa"/>
            <w:tcBorders>
              <w:top w:val="nil"/>
              <w:left w:val="nil"/>
              <w:bottom w:val="nil"/>
              <w:right w:val="nil"/>
            </w:tcBorders>
            <w:shd w:val="clear" w:color="auto" w:fill="auto"/>
            <w:vAlign w:val="center"/>
          </w:tcPr>
          <w:p w14:paraId="0FF81D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清洗消毒机</w:t>
            </w:r>
          </w:p>
        </w:tc>
        <w:tc>
          <w:tcPr>
            <w:tcW w:w="600" w:type="dxa"/>
            <w:tcBorders>
              <w:top w:val="nil"/>
              <w:left w:val="nil"/>
              <w:bottom w:val="nil"/>
              <w:right w:val="nil"/>
            </w:tcBorders>
            <w:shd w:val="clear" w:color="auto" w:fill="auto"/>
            <w:vAlign w:val="center"/>
          </w:tcPr>
          <w:p w14:paraId="35C2B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w:t>
            </w:r>
          </w:p>
        </w:tc>
        <w:tc>
          <w:tcPr>
            <w:tcW w:w="740" w:type="dxa"/>
            <w:tcBorders>
              <w:top w:val="nil"/>
              <w:left w:val="nil"/>
              <w:bottom w:val="nil"/>
              <w:right w:val="nil"/>
            </w:tcBorders>
            <w:shd w:val="clear" w:color="auto" w:fill="auto"/>
            <w:vAlign w:val="center"/>
          </w:tcPr>
          <w:p w14:paraId="24133F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450</w:t>
            </w:r>
          </w:p>
        </w:tc>
        <w:tc>
          <w:tcPr>
            <w:tcW w:w="4220" w:type="dxa"/>
            <w:tcBorders>
              <w:top w:val="nil"/>
              <w:left w:val="nil"/>
              <w:bottom w:val="nil"/>
              <w:right w:val="nil"/>
            </w:tcBorders>
            <w:shd w:val="clear" w:color="auto" w:fill="auto"/>
            <w:vAlign w:val="center"/>
          </w:tcPr>
          <w:p w14:paraId="162B7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温度、时间，</w:t>
            </w:r>
            <w:r>
              <w:rPr>
                <w:rFonts w:hint="eastAsia" w:ascii="宋体" w:hAnsi="宋体" w:eastAsia="宋体" w:cs="宋体"/>
                <w:b w:val="0"/>
                <w:bCs w:val="0"/>
                <w:i w:val="0"/>
                <w:iCs w:val="0"/>
                <w:color w:val="auto"/>
                <w:kern w:val="0"/>
                <w:sz w:val="21"/>
                <w:szCs w:val="21"/>
                <w:u w:val="none"/>
                <w:lang w:val="en-US" w:eastAsia="zh-CN" w:bidi="ar"/>
              </w:rPr>
              <w:t>检测依据应体现“清洗消毒器”</w:t>
            </w:r>
          </w:p>
        </w:tc>
        <w:tc>
          <w:tcPr>
            <w:tcW w:w="700" w:type="dxa"/>
            <w:tcBorders>
              <w:top w:val="nil"/>
              <w:left w:val="nil"/>
              <w:bottom w:val="nil"/>
              <w:right w:val="nil"/>
            </w:tcBorders>
            <w:shd w:val="clear" w:color="auto" w:fill="auto"/>
            <w:vAlign w:val="center"/>
          </w:tcPr>
          <w:p w14:paraId="2C2115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6A75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0C906E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w:t>
            </w:r>
          </w:p>
        </w:tc>
        <w:tc>
          <w:tcPr>
            <w:tcW w:w="2208" w:type="dxa"/>
            <w:tcBorders>
              <w:top w:val="nil"/>
              <w:left w:val="nil"/>
              <w:bottom w:val="nil"/>
              <w:right w:val="nil"/>
            </w:tcBorders>
            <w:shd w:val="clear" w:color="auto" w:fill="auto"/>
            <w:vAlign w:val="center"/>
          </w:tcPr>
          <w:p w14:paraId="1995CA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聚合酶链反应分析仪（PCR）</w:t>
            </w:r>
          </w:p>
        </w:tc>
        <w:tc>
          <w:tcPr>
            <w:tcW w:w="600" w:type="dxa"/>
            <w:tcBorders>
              <w:top w:val="nil"/>
              <w:left w:val="nil"/>
              <w:bottom w:val="nil"/>
              <w:right w:val="nil"/>
            </w:tcBorders>
            <w:shd w:val="clear" w:color="auto" w:fill="auto"/>
            <w:vAlign w:val="center"/>
          </w:tcPr>
          <w:p w14:paraId="5B0F1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16</w:t>
            </w:r>
          </w:p>
        </w:tc>
        <w:tc>
          <w:tcPr>
            <w:tcW w:w="740" w:type="dxa"/>
            <w:tcBorders>
              <w:top w:val="nil"/>
              <w:left w:val="nil"/>
              <w:bottom w:val="nil"/>
              <w:right w:val="nil"/>
            </w:tcBorders>
            <w:shd w:val="clear" w:color="auto" w:fill="auto"/>
            <w:vAlign w:val="center"/>
          </w:tcPr>
          <w:p w14:paraId="6E913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800</w:t>
            </w:r>
          </w:p>
        </w:tc>
        <w:tc>
          <w:tcPr>
            <w:tcW w:w="4220" w:type="dxa"/>
            <w:tcBorders>
              <w:top w:val="nil"/>
              <w:left w:val="nil"/>
              <w:bottom w:val="nil"/>
              <w:right w:val="nil"/>
            </w:tcBorders>
            <w:shd w:val="clear" w:color="auto" w:fill="auto"/>
            <w:vAlign w:val="center"/>
          </w:tcPr>
          <w:p w14:paraId="178F4460">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b w:val="0"/>
                <w:bCs w:val="0"/>
                <w:color w:val="auto"/>
                <w:kern w:val="0"/>
                <w:sz w:val="25"/>
                <w:szCs w:val="25"/>
                <w:lang w:eastAsia="zh-CN"/>
              </w:rPr>
            </w:pPr>
            <w:r>
              <w:rPr>
                <w:rFonts w:hint="eastAsia" w:ascii="宋体" w:hAnsi="宋体" w:eastAsia="宋体" w:cs="宋体"/>
                <w:b w:val="0"/>
                <w:bCs w:val="0"/>
                <w:i w:val="0"/>
                <w:iCs w:val="0"/>
                <w:color w:val="auto"/>
                <w:kern w:val="0"/>
                <w:sz w:val="21"/>
                <w:szCs w:val="21"/>
                <w:u w:val="none"/>
                <w:lang w:val="en-US" w:eastAsia="zh-CN" w:bidi="ar"/>
              </w:rPr>
              <w:t>温度、速率,</w:t>
            </w:r>
            <w:r>
              <w:rPr>
                <w:rFonts w:hint="eastAsia" w:ascii="宋体" w:hAnsi="宋体" w:eastAsia="宋体" w:cs="宋体"/>
                <w:b w:val="0"/>
                <w:bCs w:val="0"/>
                <w:i w:val="0"/>
                <w:iCs w:val="0"/>
                <w:color w:val="auto"/>
                <w:kern w:val="0"/>
                <w:sz w:val="21"/>
                <w:szCs w:val="21"/>
                <w:u w:val="none"/>
                <w:lang w:val="en-US" w:eastAsia="zh-CN" w:bidi="ar"/>
              </w:rPr>
              <w:t>检测依据JJF1527-2015</w:t>
            </w:r>
          </w:p>
          <w:p w14:paraId="5E3E39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700" w:type="dxa"/>
            <w:tcBorders>
              <w:top w:val="nil"/>
              <w:left w:val="nil"/>
              <w:bottom w:val="nil"/>
              <w:right w:val="nil"/>
            </w:tcBorders>
            <w:shd w:val="clear" w:color="auto" w:fill="auto"/>
            <w:vAlign w:val="center"/>
          </w:tcPr>
          <w:p w14:paraId="3780B7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2579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00" w:type="dxa"/>
            <w:tcBorders>
              <w:top w:val="nil"/>
              <w:left w:val="nil"/>
              <w:bottom w:val="nil"/>
              <w:right w:val="nil"/>
            </w:tcBorders>
            <w:shd w:val="clear" w:color="auto" w:fill="auto"/>
            <w:noWrap/>
            <w:vAlign w:val="center"/>
          </w:tcPr>
          <w:p w14:paraId="74693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21</w:t>
            </w:r>
          </w:p>
        </w:tc>
        <w:tc>
          <w:tcPr>
            <w:tcW w:w="2208" w:type="dxa"/>
            <w:tcBorders>
              <w:top w:val="nil"/>
              <w:left w:val="nil"/>
              <w:bottom w:val="nil"/>
              <w:right w:val="nil"/>
            </w:tcBorders>
            <w:shd w:val="clear" w:color="auto" w:fill="auto"/>
            <w:vAlign w:val="center"/>
          </w:tcPr>
          <w:p w14:paraId="222BB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聚合酶链反应分析仪（PCR）</w:t>
            </w:r>
          </w:p>
        </w:tc>
        <w:tc>
          <w:tcPr>
            <w:tcW w:w="600" w:type="dxa"/>
            <w:tcBorders>
              <w:top w:val="nil"/>
              <w:left w:val="nil"/>
              <w:bottom w:val="nil"/>
              <w:right w:val="nil"/>
            </w:tcBorders>
            <w:shd w:val="clear" w:color="auto" w:fill="auto"/>
            <w:vAlign w:val="center"/>
          </w:tcPr>
          <w:p w14:paraId="5FEF0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740" w:type="dxa"/>
            <w:tcBorders>
              <w:top w:val="nil"/>
              <w:left w:val="nil"/>
              <w:bottom w:val="nil"/>
              <w:right w:val="nil"/>
            </w:tcBorders>
            <w:shd w:val="clear" w:color="auto" w:fill="auto"/>
            <w:vAlign w:val="center"/>
          </w:tcPr>
          <w:p w14:paraId="2BEF83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1300</w:t>
            </w:r>
          </w:p>
        </w:tc>
        <w:tc>
          <w:tcPr>
            <w:tcW w:w="4220" w:type="dxa"/>
            <w:tcBorders>
              <w:top w:val="nil"/>
              <w:left w:val="nil"/>
              <w:bottom w:val="nil"/>
              <w:right w:val="nil"/>
            </w:tcBorders>
            <w:shd w:val="clear" w:color="auto" w:fill="auto"/>
            <w:vAlign w:val="center"/>
          </w:tcPr>
          <w:p w14:paraId="7F960C9D">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宋体" w:hAnsi="宋体" w:eastAsia="宋体" w:cs="宋体"/>
                <w:b w:val="0"/>
                <w:bCs w:val="0"/>
                <w:color w:val="auto"/>
                <w:sz w:val="25"/>
                <w:szCs w:val="25"/>
                <w:lang w:eastAsia="zh-CN"/>
              </w:rPr>
            </w:pPr>
            <w:r>
              <w:rPr>
                <w:rFonts w:hint="eastAsia" w:ascii="宋体" w:hAnsi="宋体" w:eastAsia="宋体" w:cs="宋体"/>
                <w:b w:val="0"/>
                <w:bCs w:val="0"/>
                <w:i w:val="0"/>
                <w:iCs w:val="0"/>
                <w:color w:val="auto"/>
                <w:kern w:val="0"/>
                <w:sz w:val="21"/>
                <w:szCs w:val="21"/>
                <w:u w:val="none"/>
                <w:lang w:val="en-US" w:eastAsia="zh-CN" w:bidi="ar"/>
              </w:rPr>
              <w:t>温度、速率、样本示值误差、样本线性，</w:t>
            </w:r>
            <w:r>
              <w:rPr>
                <w:rFonts w:hint="eastAsia" w:ascii="宋体" w:hAnsi="宋体" w:eastAsia="宋体" w:cs="宋体"/>
                <w:b w:val="0"/>
                <w:bCs w:val="0"/>
                <w:i w:val="0"/>
                <w:iCs w:val="0"/>
                <w:color w:val="auto"/>
                <w:kern w:val="0"/>
                <w:sz w:val="21"/>
                <w:szCs w:val="21"/>
                <w:u w:val="none"/>
                <w:lang w:val="en-US" w:eastAsia="zh-CN" w:bidi="ar"/>
              </w:rPr>
              <w:t>检测依据JJF1527-2015</w:t>
            </w:r>
          </w:p>
          <w:p w14:paraId="5308D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700" w:type="dxa"/>
            <w:tcBorders>
              <w:top w:val="nil"/>
              <w:left w:val="nil"/>
              <w:bottom w:val="nil"/>
              <w:right w:val="nil"/>
            </w:tcBorders>
            <w:shd w:val="clear" w:color="auto" w:fill="auto"/>
            <w:vAlign w:val="center"/>
          </w:tcPr>
          <w:p w14:paraId="184A2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703F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580520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22</w:t>
            </w:r>
          </w:p>
        </w:tc>
        <w:tc>
          <w:tcPr>
            <w:tcW w:w="2208" w:type="dxa"/>
            <w:tcBorders>
              <w:top w:val="nil"/>
              <w:left w:val="nil"/>
              <w:bottom w:val="nil"/>
              <w:right w:val="nil"/>
            </w:tcBorders>
            <w:shd w:val="clear" w:color="auto" w:fill="auto"/>
            <w:vAlign w:val="center"/>
          </w:tcPr>
          <w:p w14:paraId="2B472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核酸提取仪</w:t>
            </w:r>
          </w:p>
        </w:tc>
        <w:tc>
          <w:tcPr>
            <w:tcW w:w="600" w:type="dxa"/>
            <w:tcBorders>
              <w:top w:val="nil"/>
              <w:left w:val="nil"/>
              <w:bottom w:val="nil"/>
              <w:right w:val="nil"/>
            </w:tcBorders>
            <w:shd w:val="clear" w:color="auto" w:fill="auto"/>
            <w:vAlign w:val="center"/>
          </w:tcPr>
          <w:p w14:paraId="7A1C3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40" w:type="dxa"/>
            <w:tcBorders>
              <w:top w:val="nil"/>
              <w:left w:val="nil"/>
              <w:bottom w:val="nil"/>
              <w:right w:val="nil"/>
            </w:tcBorders>
            <w:shd w:val="clear" w:color="auto" w:fill="auto"/>
            <w:vAlign w:val="center"/>
          </w:tcPr>
          <w:p w14:paraId="0EC8D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1300</w:t>
            </w:r>
          </w:p>
        </w:tc>
        <w:tc>
          <w:tcPr>
            <w:tcW w:w="4220" w:type="dxa"/>
            <w:tcBorders>
              <w:top w:val="nil"/>
              <w:left w:val="nil"/>
              <w:bottom w:val="nil"/>
              <w:right w:val="nil"/>
            </w:tcBorders>
            <w:shd w:val="clear" w:color="auto" w:fill="auto"/>
            <w:vAlign w:val="center"/>
          </w:tcPr>
          <w:p w14:paraId="676F59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w:t>
            </w:r>
            <w:r>
              <w:rPr>
                <w:rFonts w:hint="eastAsia" w:ascii="宋体" w:hAnsi="宋体" w:eastAsia="宋体" w:cs="宋体"/>
                <w:b w:val="0"/>
                <w:bCs w:val="0"/>
                <w:i w:val="0"/>
                <w:iCs w:val="0"/>
                <w:color w:val="auto"/>
                <w:kern w:val="0"/>
                <w:sz w:val="21"/>
                <w:szCs w:val="21"/>
                <w:u w:val="none"/>
                <w:lang w:val="en-US" w:eastAsia="zh-CN" w:bidi="ar"/>
              </w:rPr>
              <w:t>检测依据JJF1874-2020</w:t>
            </w:r>
          </w:p>
        </w:tc>
        <w:tc>
          <w:tcPr>
            <w:tcW w:w="700" w:type="dxa"/>
            <w:tcBorders>
              <w:top w:val="nil"/>
              <w:left w:val="nil"/>
              <w:bottom w:val="nil"/>
              <w:right w:val="nil"/>
            </w:tcBorders>
            <w:shd w:val="clear" w:color="auto" w:fill="auto"/>
            <w:vAlign w:val="center"/>
          </w:tcPr>
          <w:p w14:paraId="3BB4C6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2B7C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00" w:type="dxa"/>
            <w:tcBorders>
              <w:top w:val="nil"/>
              <w:left w:val="nil"/>
              <w:bottom w:val="nil"/>
              <w:right w:val="nil"/>
            </w:tcBorders>
            <w:shd w:val="clear" w:color="auto" w:fill="auto"/>
            <w:noWrap/>
            <w:vAlign w:val="center"/>
          </w:tcPr>
          <w:p w14:paraId="03FBF1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23</w:t>
            </w:r>
          </w:p>
        </w:tc>
        <w:tc>
          <w:tcPr>
            <w:tcW w:w="2208" w:type="dxa"/>
            <w:tcBorders>
              <w:top w:val="nil"/>
              <w:left w:val="nil"/>
              <w:bottom w:val="nil"/>
              <w:right w:val="nil"/>
            </w:tcBorders>
            <w:shd w:val="clear" w:color="auto" w:fill="auto"/>
            <w:vAlign w:val="center"/>
          </w:tcPr>
          <w:p w14:paraId="5D5AB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超微量核酸浓度测定仪</w:t>
            </w:r>
          </w:p>
        </w:tc>
        <w:tc>
          <w:tcPr>
            <w:tcW w:w="600" w:type="dxa"/>
            <w:tcBorders>
              <w:top w:val="nil"/>
              <w:left w:val="nil"/>
              <w:bottom w:val="nil"/>
              <w:right w:val="nil"/>
            </w:tcBorders>
            <w:shd w:val="clear" w:color="auto" w:fill="auto"/>
            <w:vAlign w:val="center"/>
          </w:tcPr>
          <w:p w14:paraId="61EEEC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40" w:type="dxa"/>
            <w:tcBorders>
              <w:top w:val="nil"/>
              <w:left w:val="nil"/>
              <w:bottom w:val="nil"/>
              <w:right w:val="nil"/>
            </w:tcBorders>
            <w:shd w:val="clear" w:color="auto" w:fill="auto"/>
            <w:vAlign w:val="center"/>
          </w:tcPr>
          <w:p w14:paraId="47E46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1300</w:t>
            </w:r>
          </w:p>
        </w:tc>
        <w:tc>
          <w:tcPr>
            <w:tcW w:w="4220" w:type="dxa"/>
            <w:tcBorders>
              <w:top w:val="nil"/>
              <w:left w:val="nil"/>
              <w:bottom w:val="nil"/>
              <w:right w:val="nil"/>
            </w:tcBorders>
            <w:shd w:val="clear" w:color="auto" w:fill="auto"/>
            <w:vAlign w:val="center"/>
          </w:tcPr>
          <w:p w14:paraId="351BF3B7">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示值误差、重复性、样本线性，</w:t>
            </w:r>
            <w:r>
              <w:rPr>
                <w:rFonts w:hint="eastAsia" w:ascii="宋体" w:hAnsi="宋体" w:eastAsia="宋体" w:cs="宋体"/>
                <w:b w:val="0"/>
                <w:bCs w:val="0"/>
                <w:i w:val="0"/>
                <w:iCs w:val="0"/>
                <w:color w:val="auto"/>
                <w:kern w:val="0"/>
                <w:sz w:val="21"/>
                <w:szCs w:val="21"/>
                <w:u w:val="none"/>
                <w:lang w:val="en-US" w:eastAsia="zh-CN" w:bidi="ar"/>
              </w:rPr>
              <w:t>检测依据:微量分光光度计校准规范JJF1836-2020</w:t>
            </w:r>
          </w:p>
        </w:tc>
        <w:tc>
          <w:tcPr>
            <w:tcW w:w="700" w:type="dxa"/>
            <w:tcBorders>
              <w:top w:val="nil"/>
              <w:left w:val="nil"/>
              <w:bottom w:val="nil"/>
              <w:right w:val="nil"/>
            </w:tcBorders>
            <w:shd w:val="clear" w:color="auto" w:fill="auto"/>
            <w:vAlign w:val="center"/>
          </w:tcPr>
          <w:p w14:paraId="16B8A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548F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0F8A40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24</w:t>
            </w:r>
          </w:p>
        </w:tc>
        <w:tc>
          <w:tcPr>
            <w:tcW w:w="2208" w:type="dxa"/>
            <w:tcBorders>
              <w:top w:val="nil"/>
              <w:left w:val="nil"/>
              <w:bottom w:val="nil"/>
              <w:right w:val="nil"/>
            </w:tcBorders>
            <w:shd w:val="clear" w:color="auto" w:fill="auto"/>
            <w:vAlign w:val="center"/>
          </w:tcPr>
          <w:p w14:paraId="36794E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生物安全柜</w:t>
            </w:r>
          </w:p>
        </w:tc>
        <w:tc>
          <w:tcPr>
            <w:tcW w:w="600" w:type="dxa"/>
            <w:tcBorders>
              <w:top w:val="nil"/>
              <w:left w:val="nil"/>
              <w:bottom w:val="nil"/>
              <w:right w:val="nil"/>
            </w:tcBorders>
            <w:shd w:val="clear" w:color="auto" w:fill="auto"/>
            <w:vAlign w:val="center"/>
          </w:tcPr>
          <w:p w14:paraId="4D9EB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49</w:t>
            </w:r>
          </w:p>
        </w:tc>
        <w:tc>
          <w:tcPr>
            <w:tcW w:w="740" w:type="dxa"/>
            <w:tcBorders>
              <w:top w:val="nil"/>
              <w:left w:val="nil"/>
              <w:bottom w:val="nil"/>
              <w:right w:val="nil"/>
            </w:tcBorders>
            <w:shd w:val="clear" w:color="auto" w:fill="auto"/>
            <w:vAlign w:val="center"/>
          </w:tcPr>
          <w:p w14:paraId="4F7E0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1300</w:t>
            </w:r>
          </w:p>
        </w:tc>
        <w:tc>
          <w:tcPr>
            <w:tcW w:w="4220" w:type="dxa"/>
            <w:tcBorders>
              <w:top w:val="nil"/>
              <w:left w:val="nil"/>
              <w:bottom w:val="nil"/>
              <w:right w:val="nil"/>
            </w:tcBorders>
            <w:shd w:val="clear" w:color="auto" w:fill="auto"/>
            <w:vAlign w:val="center"/>
          </w:tcPr>
          <w:p w14:paraId="0F76AC84">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外观</w:t>
            </w:r>
          </w:p>
          <w:p w14:paraId="3965CB0C">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柜体检漏</w:t>
            </w:r>
          </w:p>
          <w:p w14:paraId="769C1FE3">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工作台面抗变形</w:t>
            </w:r>
          </w:p>
          <w:p w14:paraId="339E689C">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高效过滤器完整性</w:t>
            </w:r>
          </w:p>
          <w:p w14:paraId="504CCB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5．人员、产品和交叉污染保护</w:t>
            </w:r>
          </w:p>
          <w:p w14:paraId="7FA4A3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 噪声</w:t>
            </w:r>
          </w:p>
          <w:p w14:paraId="4C0D56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 照度</w:t>
            </w:r>
          </w:p>
          <w:p w14:paraId="784BAB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8．振动</w:t>
            </w:r>
          </w:p>
          <w:p w14:paraId="370660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9．下降气流流速</w:t>
            </w:r>
          </w:p>
          <w:p w14:paraId="2DEE29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10．流入气流流速</w:t>
            </w:r>
          </w:p>
          <w:p w14:paraId="73C67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11．气流模式</w:t>
            </w:r>
          </w:p>
          <w:p w14:paraId="571B9D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12．集液槽泄漏</w:t>
            </w:r>
          </w:p>
          <w:p w14:paraId="7275F9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13.温升</w:t>
            </w:r>
          </w:p>
          <w:p w14:paraId="11DA62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14.报警和连锁系统</w:t>
            </w:r>
          </w:p>
          <w:p w14:paraId="67BA1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检测依据：GB41918-2022或者YY0569-2011《Ⅱ级生物安全柜》、YY/T1540-2017《医用Ⅱ级生物安全柜核查指南》，检测依据为YY0569-2011《Ⅱ级生物安全柜》的应</w:t>
            </w:r>
            <w:r>
              <w:rPr>
                <w:rFonts w:hint="eastAsia" w:ascii="宋体" w:hAnsi="宋体" w:eastAsia="宋体" w:cs="宋体"/>
                <w:b w:val="0"/>
                <w:bCs w:val="0"/>
                <w:i w:val="0"/>
                <w:iCs w:val="0"/>
                <w:color w:val="auto"/>
                <w:kern w:val="0"/>
                <w:sz w:val="21"/>
                <w:szCs w:val="21"/>
                <w:u w:val="none"/>
                <w:lang w:val="en-US" w:eastAsia="zh-CN" w:bidi="ar"/>
              </w:rPr>
              <w:t>承诺</w:t>
            </w:r>
            <w:r>
              <w:rPr>
                <w:rFonts w:hint="eastAsia" w:ascii="宋体" w:hAnsi="宋体" w:eastAsia="宋体" w:cs="宋体"/>
                <w:b w:val="0"/>
                <w:bCs w:val="0"/>
                <w:i w:val="0"/>
                <w:iCs w:val="0"/>
                <w:color w:val="auto"/>
                <w:kern w:val="0"/>
                <w:sz w:val="21"/>
                <w:szCs w:val="21"/>
                <w:u w:val="none"/>
                <w:lang w:val="en-US" w:eastAsia="zh-CN" w:bidi="ar"/>
              </w:rPr>
              <w:t>2025.11.1后通过GB41918-2022，</w:t>
            </w:r>
            <w:r>
              <w:rPr>
                <w:rFonts w:hint="eastAsia" w:ascii="宋体" w:hAnsi="宋体" w:eastAsia="宋体" w:cs="宋体"/>
                <w:b w:val="0"/>
                <w:bCs w:val="0"/>
                <w:i w:val="0"/>
                <w:iCs w:val="0"/>
                <w:color w:val="auto"/>
                <w:kern w:val="0"/>
                <w:sz w:val="21"/>
                <w:szCs w:val="21"/>
                <w:u w:val="none"/>
                <w:lang w:val="en-US" w:eastAsia="zh-CN" w:bidi="ar"/>
              </w:rPr>
              <w:t>提供承诺书</w:t>
            </w:r>
            <w:r>
              <w:rPr>
                <w:rFonts w:hint="eastAsia" w:ascii="宋体" w:hAnsi="宋体" w:eastAsia="宋体" w:cs="宋体"/>
                <w:b w:val="0"/>
                <w:bCs w:val="0"/>
                <w:i w:val="0"/>
                <w:iCs w:val="0"/>
                <w:color w:val="auto"/>
                <w:kern w:val="0"/>
                <w:sz w:val="21"/>
                <w:szCs w:val="21"/>
                <w:u w:val="none"/>
                <w:lang w:val="en-US" w:eastAsia="zh-CN" w:bidi="ar"/>
              </w:rPr>
              <w:t>。</w:t>
            </w:r>
          </w:p>
          <w:p w14:paraId="5F5517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投标人应有病原微生物实验室，提供卫健委相关证明文件</w:t>
            </w:r>
          </w:p>
        </w:tc>
        <w:tc>
          <w:tcPr>
            <w:tcW w:w="700" w:type="dxa"/>
            <w:tcBorders>
              <w:top w:val="nil"/>
              <w:left w:val="nil"/>
              <w:bottom w:val="nil"/>
              <w:right w:val="nil"/>
            </w:tcBorders>
            <w:shd w:val="clear" w:color="auto" w:fill="auto"/>
            <w:vAlign w:val="center"/>
          </w:tcPr>
          <w:p w14:paraId="19BB4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623B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0" w:type="dxa"/>
            <w:tcBorders>
              <w:top w:val="nil"/>
              <w:left w:val="nil"/>
              <w:bottom w:val="nil"/>
              <w:right w:val="nil"/>
            </w:tcBorders>
            <w:shd w:val="clear" w:color="auto" w:fill="auto"/>
            <w:noWrap/>
            <w:vAlign w:val="center"/>
          </w:tcPr>
          <w:p w14:paraId="068A45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25</w:t>
            </w:r>
          </w:p>
        </w:tc>
        <w:tc>
          <w:tcPr>
            <w:tcW w:w="2208" w:type="dxa"/>
            <w:tcBorders>
              <w:top w:val="nil"/>
              <w:left w:val="nil"/>
              <w:bottom w:val="nil"/>
              <w:right w:val="nil"/>
            </w:tcBorders>
            <w:shd w:val="clear" w:color="auto" w:fill="auto"/>
            <w:vAlign w:val="center"/>
          </w:tcPr>
          <w:p w14:paraId="7A68E9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洁净工作台</w:t>
            </w:r>
          </w:p>
        </w:tc>
        <w:tc>
          <w:tcPr>
            <w:tcW w:w="600" w:type="dxa"/>
            <w:tcBorders>
              <w:top w:val="nil"/>
              <w:left w:val="nil"/>
              <w:bottom w:val="nil"/>
              <w:right w:val="nil"/>
            </w:tcBorders>
            <w:shd w:val="clear" w:color="auto" w:fill="auto"/>
            <w:vAlign w:val="center"/>
          </w:tcPr>
          <w:p w14:paraId="2C95E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w:t>
            </w:r>
          </w:p>
        </w:tc>
        <w:tc>
          <w:tcPr>
            <w:tcW w:w="740" w:type="dxa"/>
            <w:tcBorders>
              <w:top w:val="nil"/>
              <w:left w:val="nil"/>
              <w:bottom w:val="nil"/>
              <w:right w:val="nil"/>
            </w:tcBorders>
            <w:shd w:val="clear" w:color="auto" w:fill="auto"/>
            <w:vAlign w:val="center"/>
          </w:tcPr>
          <w:p w14:paraId="3C29F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800</w:t>
            </w:r>
          </w:p>
        </w:tc>
        <w:tc>
          <w:tcPr>
            <w:tcW w:w="4220" w:type="dxa"/>
            <w:tcBorders>
              <w:top w:val="nil"/>
              <w:left w:val="nil"/>
              <w:bottom w:val="nil"/>
              <w:right w:val="nil"/>
            </w:tcBorders>
            <w:shd w:val="clear" w:color="auto" w:fill="auto"/>
            <w:vAlign w:val="center"/>
          </w:tcPr>
          <w:p w14:paraId="37C32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 外观</w:t>
            </w:r>
          </w:p>
          <w:p w14:paraId="07B719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 功能</w:t>
            </w:r>
          </w:p>
          <w:p w14:paraId="348BA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3.平均风速、风速不均匀度</w:t>
            </w:r>
          </w:p>
          <w:p w14:paraId="051AB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 风量</w:t>
            </w:r>
          </w:p>
          <w:p w14:paraId="1992D3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5. 气流</w:t>
            </w:r>
          </w:p>
          <w:p w14:paraId="33EAAE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 空气洁净度</w:t>
            </w:r>
          </w:p>
          <w:p w14:paraId="7CBFFD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 照度</w:t>
            </w:r>
          </w:p>
          <w:p w14:paraId="7509A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 噪声</w:t>
            </w:r>
          </w:p>
          <w:p w14:paraId="03320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9. 振动幅值</w:t>
            </w:r>
          </w:p>
          <w:p w14:paraId="40205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5"/>
                <w:szCs w:val="25"/>
              </w:rPr>
            </w:pPr>
            <w:r>
              <w:rPr>
                <w:rFonts w:hint="eastAsia" w:ascii="宋体" w:hAnsi="宋体" w:eastAsia="宋体" w:cs="宋体"/>
                <w:b w:val="0"/>
                <w:bCs w:val="0"/>
                <w:i w:val="0"/>
                <w:iCs w:val="0"/>
                <w:color w:val="auto"/>
                <w:kern w:val="0"/>
                <w:sz w:val="21"/>
                <w:szCs w:val="21"/>
                <w:u w:val="none"/>
                <w:lang w:val="en-US" w:eastAsia="zh-CN" w:bidi="ar"/>
              </w:rPr>
              <w:t>10. 沉降菌浓度</w:t>
            </w:r>
          </w:p>
          <w:p w14:paraId="0E0522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检测依据应体现“洁净工作台”</w:t>
            </w:r>
          </w:p>
        </w:tc>
        <w:tc>
          <w:tcPr>
            <w:tcW w:w="700" w:type="dxa"/>
            <w:tcBorders>
              <w:top w:val="nil"/>
              <w:left w:val="nil"/>
              <w:bottom w:val="nil"/>
              <w:right w:val="nil"/>
            </w:tcBorders>
            <w:shd w:val="clear" w:color="auto" w:fill="auto"/>
            <w:vAlign w:val="center"/>
          </w:tcPr>
          <w:p w14:paraId="3E7D7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579D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341FB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26</w:t>
            </w:r>
          </w:p>
        </w:tc>
        <w:tc>
          <w:tcPr>
            <w:tcW w:w="2208" w:type="dxa"/>
            <w:tcBorders>
              <w:top w:val="nil"/>
              <w:left w:val="nil"/>
              <w:bottom w:val="nil"/>
              <w:right w:val="nil"/>
            </w:tcBorders>
            <w:shd w:val="clear" w:color="auto" w:fill="auto"/>
            <w:vAlign w:val="center"/>
          </w:tcPr>
          <w:p w14:paraId="2AF4A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移液器、玻璃移液管</w:t>
            </w:r>
          </w:p>
        </w:tc>
        <w:tc>
          <w:tcPr>
            <w:tcW w:w="600" w:type="dxa"/>
            <w:tcBorders>
              <w:top w:val="nil"/>
              <w:left w:val="nil"/>
              <w:bottom w:val="nil"/>
              <w:right w:val="nil"/>
            </w:tcBorders>
            <w:shd w:val="clear" w:color="auto" w:fill="auto"/>
            <w:vAlign w:val="center"/>
          </w:tcPr>
          <w:p w14:paraId="5D1B6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223</w:t>
            </w:r>
          </w:p>
        </w:tc>
        <w:tc>
          <w:tcPr>
            <w:tcW w:w="740" w:type="dxa"/>
            <w:tcBorders>
              <w:top w:val="nil"/>
              <w:left w:val="nil"/>
              <w:bottom w:val="nil"/>
              <w:right w:val="nil"/>
            </w:tcBorders>
            <w:shd w:val="clear" w:color="auto" w:fill="auto"/>
            <w:vAlign w:val="center"/>
          </w:tcPr>
          <w:p w14:paraId="6F0556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70</w:t>
            </w:r>
          </w:p>
        </w:tc>
        <w:tc>
          <w:tcPr>
            <w:tcW w:w="4220" w:type="dxa"/>
            <w:tcBorders>
              <w:top w:val="nil"/>
              <w:left w:val="nil"/>
              <w:bottom w:val="nil"/>
              <w:right w:val="nil"/>
            </w:tcBorders>
            <w:shd w:val="clear" w:color="auto" w:fill="auto"/>
            <w:vAlign w:val="center"/>
          </w:tcPr>
          <w:p w14:paraId="5A77C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容量</w:t>
            </w:r>
          </w:p>
        </w:tc>
        <w:tc>
          <w:tcPr>
            <w:tcW w:w="700" w:type="dxa"/>
            <w:tcBorders>
              <w:top w:val="nil"/>
              <w:left w:val="nil"/>
              <w:bottom w:val="nil"/>
              <w:right w:val="nil"/>
            </w:tcBorders>
            <w:shd w:val="clear" w:color="auto" w:fill="auto"/>
            <w:vAlign w:val="center"/>
          </w:tcPr>
          <w:p w14:paraId="1394A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3BB2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3ACCDC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27</w:t>
            </w:r>
          </w:p>
        </w:tc>
        <w:tc>
          <w:tcPr>
            <w:tcW w:w="2208" w:type="dxa"/>
            <w:tcBorders>
              <w:top w:val="nil"/>
              <w:left w:val="nil"/>
              <w:bottom w:val="nil"/>
              <w:right w:val="nil"/>
            </w:tcBorders>
            <w:shd w:val="clear" w:color="auto" w:fill="auto"/>
            <w:vAlign w:val="center"/>
          </w:tcPr>
          <w:p w14:paraId="0B235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人体秤</w:t>
            </w:r>
          </w:p>
        </w:tc>
        <w:tc>
          <w:tcPr>
            <w:tcW w:w="600" w:type="dxa"/>
            <w:tcBorders>
              <w:top w:val="nil"/>
              <w:left w:val="nil"/>
              <w:bottom w:val="nil"/>
              <w:right w:val="nil"/>
            </w:tcBorders>
            <w:shd w:val="clear" w:color="auto" w:fill="auto"/>
            <w:vAlign w:val="center"/>
          </w:tcPr>
          <w:p w14:paraId="43B57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14</w:t>
            </w:r>
          </w:p>
        </w:tc>
        <w:tc>
          <w:tcPr>
            <w:tcW w:w="740" w:type="dxa"/>
            <w:tcBorders>
              <w:top w:val="nil"/>
              <w:left w:val="nil"/>
              <w:bottom w:val="nil"/>
              <w:right w:val="nil"/>
            </w:tcBorders>
            <w:shd w:val="clear" w:color="auto" w:fill="auto"/>
            <w:vAlign w:val="center"/>
          </w:tcPr>
          <w:p w14:paraId="4F947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70</w:t>
            </w:r>
          </w:p>
        </w:tc>
        <w:tc>
          <w:tcPr>
            <w:tcW w:w="4220" w:type="dxa"/>
            <w:tcBorders>
              <w:top w:val="nil"/>
              <w:left w:val="nil"/>
              <w:bottom w:val="nil"/>
              <w:right w:val="nil"/>
            </w:tcBorders>
            <w:shd w:val="clear" w:color="auto" w:fill="auto"/>
            <w:vAlign w:val="center"/>
          </w:tcPr>
          <w:p w14:paraId="621CC0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质量、长度(如有)</w:t>
            </w:r>
          </w:p>
        </w:tc>
        <w:tc>
          <w:tcPr>
            <w:tcW w:w="700" w:type="dxa"/>
            <w:tcBorders>
              <w:top w:val="nil"/>
              <w:left w:val="nil"/>
              <w:bottom w:val="nil"/>
              <w:right w:val="nil"/>
            </w:tcBorders>
            <w:shd w:val="clear" w:color="auto" w:fill="auto"/>
            <w:vAlign w:val="center"/>
          </w:tcPr>
          <w:p w14:paraId="62E6A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1D3C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dxa"/>
            <w:tcBorders>
              <w:top w:val="nil"/>
              <w:left w:val="nil"/>
              <w:bottom w:val="nil"/>
              <w:right w:val="nil"/>
            </w:tcBorders>
            <w:shd w:val="clear" w:color="auto" w:fill="auto"/>
            <w:noWrap/>
            <w:vAlign w:val="center"/>
          </w:tcPr>
          <w:p w14:paraId="771A2A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28</w:t>
            </w:r>
          </w:p>
        </w:tc>
        <w:tc>
          <w:tcPr>
            <w:tcW w:w="2208" w:type="dxa"/>
            <w:tcBorders>
              <w:top w:val="nil"/>
              <w:left w:val="nil"/>
              <w:bottom w:val="nil"/>
              <w:right w:val="nil"/>
            </w:tcBorders>
            <w:shd w:val="clear" w:color="auto" w:fill="auto"/>
            <w:vAlign w:val="center"/>
          </w:tcPr>
          <w:p w14:paraId="0B4C5A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健康体检一体机</w:t>
            </w:r>
          </w:p>
        </w:tc>
        <w:tc>
          <w:tcPr>
            <w:tcW w:w="600" w:type="dxa"/>
            <w:tcBorders>
              <w:top w:val="nil"/>
              <w:left w:val="nil"/>
              <w:bottom w:val="nil"/>
              <w:right w:val="nil"/>
            </w:tcBorders>
            <w:shd w:val="clear" w:color="auto" w:fill="auto"/>
            <w:vAlign w:val="center"/>
          </w:tcPr>
          <w:p w14:paraId="05004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40" w:type="dxa"/>
            <w:tcBorders>
              <w:top w:val="nil"/>
              <w:left w:val="nil"/>
              <w:bottom w:val="nil"/>
              <w:right w:val="nil"/>
            </w:tcBorders>
            <w:shd w:val="clear" w:color="auto" w:fill="auto"/>
            <w:vAlign w:val="center"/>
          </w:tcPr>
          <w:p w14:paraId="577CD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70</w:t>
            </w:r>
          </w:p>
        </w:tc>
        <w:tc>
          <w:tcPr>
            <w:tcW w:w="4220" w:type="dxa"/>
            <w:tcBorders>
              <w:top w:val="nil"/>
              <w:left w:val="nil"/>
              <w:bottom w:val="nil"/>
              <w:right w:val="nil"/>
            </w:tcBorders>
            <w:shd w:val="clear" w:color="auto" w:fill="auto"/>
            <w:vAlign w:val="center"/>
          </w:tcPr>
          <w:p w14:paraId="038720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质量、长度</w:t>
            </w:r>
          </w:p>
        </w:tc>
        <w:tc>
          <w:tcPr>
            <w:tcW w:w="700" w:type="dxa"/>
            <w:tcBorders>
              <w:top w:val="nil"/>
              <w:left w:val="nil"/>
              <w:bottom w:val="nil"/>
              <w:right w:val="nil"/>
            </w:tcBorders>
            <w:shd w:val="clear" w:color="auto" w:fill="auto"/>
            <w:vAlign w:val="center"/>
          </w:tcPr>
          <w:p w14:paraId="67CF77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2F99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2C3074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29</w:t>
            </w:r>
          </w:p>
        </w:tc>
        <w:tc>
          <w:tcPr>
            <w:tcW w:w="2208" w:type="dxa"/>
            <w:tcBorders>
              <w:top w:val="nil"/>
              <w:left w:val="nil"/>
              <w:bottom w:val="nil"/>
              <w:right w:val="nil"/>
            </w:tcBorders>
            <w:shd w:val="clear" w:color="auto" w:fill="auto"/>
            <w:vAlign w:val="center"/>
          </w:tcPr>
          <w:p w14:paraId="43B1E9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电子天平</w:t>
            </w:r>
          </w:p>
        </w:tc>
        <w:tc>
          <w:tcPr>
            <w:tcW w:w="600" w:type="dxa"/>
            <w:tcBorders>
              <w:top w:val="nil"/>
              <w:left w:val="nil"/>
              <w:bottom w:val="nil"/>
              <w:right w:val="nil"/>
            </w:tcBorders>
            <w:shd w:val="clear" w:color="auto" w:fill="auto"/>
            <w:vAlign w:val="center"/>
          </w:tcPr>
          <w:p w14:paraId="2E37AD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w:t>
            </w:r>
          </w:p>
        </w:tc>
        <w:tc>
          <w:tcPr>
            <w:tcW w:w="740" w:type="dxa"/>
            <w:tcBorders>
              <w:top w:val="nil"/>
              <w:left w:val="nil"/>
              <w:bottom w:val="nil"/>
              <w:right w:val="nil"/>
            </w:tcBorders>
            <w:shd w:val="clear" w:color="auto" w:fill="auto"/>
            <w:vAlign w:val="center"/>
          </w:tcPr>
          <w:p w14:paraId="4EB2B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200</w:t>
            </w:r>
          </w:p>
        </w:tc>
        <w:tc>
          <w:tcPr>
            <w:tcW w:w="4220" w:type="dxa"/>
            <w:tcBorders>
              <w:top w:val="nil"/>
              <w:left w:val="nil"/>
              <w:bottom w:val="nil"/>
              <w:right w:val="nil"/>
            </w:tcBorders>
            <w:shd w:val="clear" w:color="auto" w:fill="auto"/>
            <w:vAlign w:val="center"/>
          </w:tcPr>
          <w:p w14:paraId="4262B4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质量</w:t>
            </w:r>
          </w:p>
        </w:tc>
        <w:tc>
          <w:tcPr>
            <w:tcW w:w="700" w:type="dxa"/>
            <w:tcBorders>
              <w:top w:val="nil"/>
              <w:left w:val="nil"/>
              <w:bottom w:val="nil"/>
              <w:right w:val="nil"/>
            </w:tcBorders>
            <w:shd w:val="clear" w:color="auto" w:fill="auto"/>
            <w:vAlign w:val="center"/>
          </w:tcPr>
          <w:p w14:paraId="7BCF64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0654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17718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30</w:t>
            </w:r>
          </w:p>
        </w:tc>
        <w:tc>
          <w:tcPr>
            <w:tcW w:w="2208" w:type="dxa"/>
            <w:tcBorders>
              <w:top w:val="nil"/>
              <w:left w:val="nil"/>
              <w:bottom w:val="nil"/>
              <w:right w:val="nil"/>
            </w:tcBorders>
            <w:shd w:val="clear" w:color="auto" w:fill="auto"/>
            <w:vAlign w:val="center"/>
          </w:tcPr>
          <w:p w14:paraId="787DBE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微压表</w:t>
            </w:r>
          </w:p>
        </w:tc>
        <w:tc>
          <w:tcPr>
            <w:tcW w:w="600" w:type="dxa"/>
            <w:tcBorders>
              <w:top w:val="nil"/>
              <w:left w:val="nil"/>
              <w:bottom w:val="nil"/>
              <w:right w:val="nil"/>
            </w:tcBorders>
            <w:shd w:val="clear" w:color="auto" w:fill="auto"/>
            <w:vAlign w:val="center"/>
          </w:tcPr>
          <w:p w14:paraId="77530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38</w:t>
            </w:r>
          </w:p>
        </w:tc>
        <w:tc>
          <w:tcPr>
            <w:tcW w:w="740" w:type="dxa"/>
            <w:tcBorders>
              <w:top w:val="nil"/>
              <w:left w:val="nil"/>
              <w:bottom w:val="nil"/>
              <w:right w:val="nil"/>
            </w:tcBorders>
            <w:shd w:val="clear" w:color="auto" w:fill="auto"/>
            <w:vAlign w:val="center"/>
          </w:tcPr>
          <w:p w14:paraId="04CF83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38</w:t>
            </w:r>
          </w:p>
        </w:tc>
        <w:tc>
          <w:tcPr>
            <w:tcW w:w="4220" w:type="dxa"/>
            <w:tcBorders>
              <w:top w:val="nil"/>
              <w:left w:val="nil"/>
              <w:bottom w:val="nil"/>
              <w:right w:val="nil"/>
            </w:tcBorders>
            <w:shd w:val="clear" w:color="auto" w:fill="auto"/>
            <w:vAlign w:val="center"/>
          </w:tcPr>
          <w:p w14:paraId="5D5D2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压力</w:t>
            </w:r>
          </w:p>
        </w:tc>
        <w:tc>
          <w:tcPr>
            <w:tcW w:w="700" w:type="dxa"/>
            <w:tcBorders>
              <w:top w:val="nil"/>
              <w:left w:val="nil"/>
              <w:bottom w:val="nil"/>
              <w:right w:val="nil"/>
            </w:tcBorders>
            <w:shd w:val="clear" w:color="auto" w:fill="auto"/>
            <w:vAlign w:val="center"/>
          </w:tcPr>
          <w:p w14:paraId="1770C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7EF0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40F157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31</w:t>
            </w:r>
          </w:p>
        </w:tc>
        <w:tc>
          <w:tcPr>
            <w:tcW w:w="2208" w:type="dxa"/>
            <w:tcBorders>
              <w:top w:val="nil"/>
              <w:left w:val="nil"/>
              <w:bottom w:val="nil"/>
              <w:right w:val="nil"/>
            </w:tcBorders>
            <w:shd w:val="clear" w:color="auto" w:fill="auto"/>
            <w:vAlign w:val="center"/>
          </w:tcPr>
          <w:p w14:paraId="39855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lang w:eastAsia="zh-CN"/>
              </w:rPr>
            </w:pPr>
            <w:r>
              <w:rPr>
                <w:rFonts w:hint="eastAsia" w:ascii="宋体" w:hAnsi="宋体" w:eastAsia="宋体" w:cs="宋体"/>
                <w:b w:val="0"/>
                <w:bCs w:val="0"/>
                <w:i w:val="0"/>
                <w:iCs w:val="0"/>
                <w:color w:val="auto"/>
                <w:sz w:val="21"/>
                <w:szCs w:val="21"/>
                <w:u w:val="none"/>
                <w:lang w:eastAsia="zh-CN"/>
              </w:rPr>
              <w:t>压力表</w:t>
            </w:r>
          </w:p>
        </w:tc>
        <w:tc>
          <w:tcPr>
            <w:tcW w:w="600" w:type="dxa"/>
            <w:tcBorders>
              <w:top w:val="nil"/>
              <w:left w:val="nil"/>
              <w:bottom w:val="nil"/>
              <w:right w:val="nil"/>
            </w:tcBorders>
            <w:shd w:val="clear" w:color="auto" w:fill="auto"/>
            <w:vAlign w:val="center"/>
          </w:tcPr>
          <w:p w14:paraId="5BC0C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w:t>
            </w:r>
          </w:p>
        </w:tc>
        <w:tc>
          <w:tcPr>
            <w:tcW w:w="740" w:type="dxa"/>
            <w:tcBorders>
              <w:top w:val="nil"/>
              <w:left w:val="nil"/>
              <w:bottom w:val="nil"/>
              <w:right w:val="nil"/>
            </w:tcBorders>
            <w:shd w:val="clear" w:color="auto" w:fill="auto"/>
            <w:vAlign w:val="center"/>
          </w:tcPr>
          <w:p w14:paraId="7FBB5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38</w:t>
            </w:r>
          </w:p>
        </w:tc>
        <w:tc>
          <w:tcPr>
            <w:tcW w:w="4220" w:type="dxa"/>
            <w:tcBorders>
              <w:top w:val="nil"/>
              <w:left w:val="nil"/>
              <w:bottom w:val="nil"/>
              <w:right w:val="nil"/>
            </w:tcBorders>
            <w:shd w:val="clear" w:color="auto" w:fill="auto"/>
            <w:vAlign w:val="center"/>
          </w:tcPr>
          <w:p w14:paraId="28CE2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压力</w:t>
            </w:r>
          </w:p>
        </w:tc>
        <w:tc>
          <w:tcPr>
            <w:tcW w:w="700" w:type="dxa"/>
            <w:tcBorders>
              <w:top w:val="nil"/>
              <w:left w:val="nil"/>
              <w:bottom w:val="nil"/>
              <w:right w:val="nil"/>
            </w:tcBorders>
            <w:shd w:val="clear" w:color="auto" w:fill="auto"/>
            <w:vAlign w:val="center"/>
          </w:tcPr>
          <w:p w14:paraId="42BB77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5978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02D55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32</w:t>
            </w:r>
          </w:p>
        </w:tc>
        <w:tc>
          <w:tcPr>
            <w:tcW w:w="2208" w:type="dxa"/>
            <w:tcBorders>
              <w:top w:val="nil"/>
              <w:left w:val="nil"/>
              <w:bottom w:val="nil"/>
              <w:right w:val="nil"/>
            </w:tcBorders>
            <w:shd w:val="clear" w:color="auto" w:fill="auto"/>
            <w:vAlign w:val="center"/>
          </w:tcPr>
          <w:p w14:paraId="3CE207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CO2减压器</w:t>
            </w:r>
          </w:p>
        </w:tc>
        <w:tc>
          <w:tcPr>
            <w:tcW w:w="600" w:type="dxa"/>
            <w:tcBorders>
              <w:top w:val="nil"/>
              <w:left w:val="nil"/>
              <w:bottom w:val="nil"/>
              <w:right w:val="nil"/>
            </w:tcBorders>
            <w:shd w:val="clear" w:color="auto" w:fill="auto"/>
            <w:vAlign w:val="center"/>
          </w:tcPr>
          <w:p w14:paraId="0AB1FE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w:t>
            </w:r>
          </w:p>
        </w:tc>
        <w:tc>
          <w:tcPr>
            <w:tcW w:w="740" w:type="dxa"/>
            <w:tcBorders>
              <w:top w:val="nil"/>
              <w:left w:val="nil"/>
              <w:bottom w:val="nil"/>
              <w:right w:val="nil"/>
            </w:tcBorders>
            <w:shd w:val="clear" w:color="auto" w:fill="auto"/>
            <w:vAlign w:val="center"/>
          </w:tcPr>
          <w:p w14:paraId="2E05F1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38</w:t>
            </w:r>
          </w:p>
        </w:tc>
        <w:tc>
          <w:tcPr>
            <w:tcW w:w="4220" w:type="dxa"/>
            <w:tcBorders>
              <w:top w:val="nil"/>
              <w:left w:val="nil"/>
              <w:bottom w:val="nil"/>
              <w:right w:val="nil"/>
            </w:tcBorders>
            <w:shd w:val="clear" w:color="auto" w:fill="auto"/>
            <w:vAlign w:val="center"/>
          </w:tcPr>
          <w:p w14:paraId="4F2DD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压力</w:t>
            </w:r>
          </w:p>
        </w:tc>
        <w:tc>
          <w:tcPr>
            <w:tcW w:w="700" w:type="dxa"/>
            <w:tcBorders>
              <w:top w:val="nil"/>
              <w:left w:val="nil"/>
              <w:bottom w:val="nil"/>
              <w:right w:val="nil"/>
            </w:tcBorders>
            <w:shd w:val="clear" w:color="auto" w:fill="auto"/>
            <w:vAlign w:val="center"/>
          </w:tcPr>
          <w:p w14:paraId="6074C2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75AF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4A600B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33</w:t>
            </w:r>
          </w:p>
        </w:tc>
        <w:tc>
          <w:tcPr>
            <w:tcW w:w="2208" w:type="dxa"/>
            <w:tcBorders>
              <w:top w:val="nil"/>
              <w:left w:val="nil"/>
              <w:bottom w:val="nil"/>
              <w:right w:val="nil"/>
            </w:tcBorders>
            <w:shd w:val="clear" w:color="auto" w:fill="auto"/>
            <w:vAlign w:val="center"/>
          </w:tcPr>
          <w:p w14:paraId="23DF2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二氧化碳培养箱</w:t>
            </w:r>
          </w:p>
        </w:tc>
        <w:tc>
          <w:tcPr>
            <w:tcW w:w="600" w:type="dxa"/>
            <w:tcBorders>
              <w:top w:val="nil"/>
              <w:left w:val="nil"/>
              <w:bottom w:val="nil"/>
              <w:right w:val="nil"/>
            </w:tcBorders>
            <w:shd w:val="clear" w:color="auto" w:fill="auto"/>
            <w:vAlign w:val="center"/>
          </w:tcPr>
          <w:p w14:paraId="2EBAF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w:t>
            </w:r>
          </w:p>
        </w:tc>
        <w:tc>
          <w:tcPr>
            <w:tcW w:w="740" w:type="dxa"/>
            <w:tcBorders>
              <w:top w:val="nil"/>
              <w:left w:val="nil"/>
              <w:bottom w:val="nil"/>
              <w:right w:val="nil"/>
            </w:tcBorders>
            <w:shd w:val="clear" w:color="auto" w:fill="auto"/>
            <w:vAlign w:val="center"/>
          </w:tcPr>
          <w:p w14:paraId="1FF3DE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250</w:t>
            </w:r>
          </w:p>
        </w:tc>
        <w:tc>
          <w:tcPr>
            <w:tcW w:w="4220" w:type="dxa"/>
            <w:tcBorders>
              <w:top w:val="nil"/>
              <w:left w:val="nil"/>
              <w:bottom w:val="nil"/>
              <w:right w:val="nil"/>
            </w:tcBorders>
            <w:shd w:val="clear" w:color="auto" w:fill="auto"/>
            <w:vAlign w:val="center"/>
          </w:tcPr>
          <w:p w14:paraId="312F8A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温度、二氧化碳浓度、湿度（如有）</w:t>
            </w:r>
          </w:p>
        </w:tc>
        <w:tc>
          <w:tcPr>
            <w:tcW w:w="700" w:type="dxa"/>
            <w:tcBorders>
              <w:top w:val="nil"/>
              <w:left w:val="nil"/>
              <w:bottom w:val="nil"/>
              <w:right w:val="nil"/>
            </w:tcBorders>
            <w:shd w:val="clear" w:color="auto" w:fill="auto"/>
            <w:vAlign w:val="center"/>
          </w:tcPr>
          <w:p w14:paraId="515C79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3EE1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5078FC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34</w:t>
            </w:r>
          </w:p>
        </w:tc>
        <w:tc>
          <w:tcPr>
            <w:tcW w:w="2208" w:type="dxa"/>
            <w:tcBorders>
              <w:top w:val="nil"/>
              <w:left w:val="nil"/>
              <w:bottom w:val="nil"/>
              <w:right w:val="nil"/>
            </w:tcBorders>
            <w:shd w:val="clear" w:color="auto" w:fill="auto"/>
            <w:vAlign w:val="center"/>
          </w:tcPr>
          <w:p w14:paraId="52BB9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PH计</w:t>
            </w:r>
          </w:p>
        </w:tc>
        <w:tc>
          <w:tcPr>
            <w:tcW w:w="600" w:type="dxa"/>
            <w:tcBorders>
              <w:top w:val="nil"/>
              <w:left w:val="nil"/>
              <w:bottom w:val="nil"/>
              <w:right w:val="nil"/>
            </w:tcBorders>
            <w:shd w:val="clear" w:color="auto" w:fill="auto"/>
            <w:vAlign w:val="center"/>
          </w:tcPr>
          <w:p w14:paraId="3D7797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40" w:type="dxa"/>
            <w:tcBorders>
              <w:top w:val="nil"/>
              <w:left w:val="nil"/>
              <w:bottom w:val="nil"/>
              <w:right w:val="nil"/>
            </w:tcBorders>
            <w:shd w:val="clear" w:color="auto" w:fill="auto"/>
            <w:vAlign w:val="center"/>
          </w:tcPr>
          <w:p w14:paraId="46DCE0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110</w:t>
            </w:r>
          </w:p>
        </w:tc>
        <w:tc>
          <w:tcPr>
            <w:tcW w:w="4220" w:type="dxa"/>
            <w:tcBorders>
              <w:top w:val="nil"/>
              <w:left w:val="nil"/>
              <w:bottom w:val="nil"/>
              <w:right w:val="nil"/>
            </w:tcBorders>
            <w:shd w:val="clear" w:color="auto" w:fill="auto"/>
            <w:vAlign w:val="center"/>
          </w:tcPr>
          <w:p w14:paraId="31F91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酸度</w:t>
            </w:r>
          </w:p>
        </w:tc>
        <w:tc>
          <w:tcPr>
            <w:tcW w:w="700" w:type="dxa"/>
            <w:tcBorders>
              <w:top w:val="nil"/>
              <w:left w:val="nil"/>
              <w:bottom w:val="nil"/>
              <w:right w:val="nil"/>
            </w:tcBorders>
            <w:shd w:val="clear" w:color="auto" w:fill="auto"/>
            <w:vAlign w:val="center"/>
          </w:tcPr>
          <w:p w14:paraId="5C4A05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0CF8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5BFC4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35</w:t>
            </w:r>
          </w:p>
        </w:tc>
        <w:tc>
          <w:tcPr>
            <w:tcW w:w="2208" w:type="dxa"/>
            <w:tcBorders>
              <w:top w:val="nil"/>
              <w:left w:val="nil"/>
              <w:bottom w:val="nil"/>
              <w:right w:val="nil"/>
            </w:tcBorders>
            <w:shd w:val="clear" w:color="auto" w:fill="auto"/>
            <w:vAlign w:val="center"/>
          </w:tcPr>
          <w:p w14:paraId="3CEDFA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血氧仪</w:t>
            </w:r>
          </w:p>
        </w:tc>
        <w:tc>
          <w:tcPr>
            <w:tcW w:w="600" w:type="dxa"/>
            <w:tcBorders>
              <w:top w:val="nil"/>
              <w:left w:val="nil"/>
              <w:bottom w:val="nil"/>
              <w:right w:val="nil"/>
            </w:tcBorders>
            <w:shd w:val="clear" w:color="auto" w:fill="auto"/>
            <w:vAlign w:val="center"/>
          </w:tcPr>
          <w:p w14:paraId="67976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40" w:type="dxa"/>
            <w:tcBorders>
              <w:top w:val="nil"/>
              <w:left w:val="nil"/>
              <w:bottom w:val="nil"/>
              <w:right w:val="nil"/>
            </w:tcBorders>
            <w:shd w:val="clear" w:color="auto" w:fill="auto"/>
            <w:vAlign w:val="center"/>
          </w:tcPr>
          <w:p w14:paraId="0683C3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200</w:t>
            </w:r>
          </w:p>
        </w:tc>
        <w:tc>
          <w:tcPr>
            <w:tcW w:w="4220" w:type="dxa"/>
            <w:tcBorders>
              <w:top w:val="nil"/>
              <w:left w:val="nil"/>
              <w:bottom w:val="nil"/>
              <w:right w:val="nil"/>
            </w:tcBorders>
            <w:shd w:val="clear" w:color="auto" w:fill="auto"/>
            <w:vAlign w:val="center"/>
          </w:tcPr>
          <w:p w14:paraId="5E01C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血氧饱和度</w:t>
            </w:r>
          </w:p>
        </w:tc>
        <w:tc>
          <w:tcPr>
            <w:tcW w:w="700" w:type="dxa"/>
            <w:tcBorders>
              <w:top w:val="nil"/>
              <w:left w:val="nil"/>
              <w:bottom w:val="nil"/>
              <w:right w:val="nil"/>
            </w:tcBorders>
            <w:shd w:val="clear" w:color="auto" w:fill="auto"/>
            <w:vAlign w:val="center"/>
          </w:tcPr>
          <w:p w14:paraId="75815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7CD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4FD107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36</w:t>
            </w:r>
          </w:p>
        </w:tc>
        <w:tc>
          <w:tcPr>
            <w:tcW w:w="2208" w:type="dxa"/>
            <w:tcBorders>
              <w:top w:val="nil"/>
              <w:left w:val="nil"/>
              <w:bottom w:val="nil"/>
              <w:right w:val="nil"/>
            </w:tcBorders>
            <w:shd w:val="clear" w:color="auto" w:fill="auto"/>
            <w:vAlign w:val="center"/>
          </w:tcPr>
          <w:p w14:paraId="4B252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酶标仪</w:t>
            </w:r>
          </w:p>
        </w:tc>
        <w:tc>
          <w:tcPr>
            <w:tcW w:w="600" w:type="dxa"/>
            <w:tcBorders>
              <w:top w:val="nil"/>
              <w:left w:val="nil"/>
              <w:bottom w:val="nil"/>
              <w:right w:val="nil"/>
            </w:tcBorders>
            <w:shd w:val="clear" w:color="auto" w:fill="auto"/>
            <w:vAlign w:val="center"/>
          </w:tcPr>
          <w:p w14:paraId="39DD9E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740" w:type="dxa"/>
            <w:tcBorders>
              <w:top w:val="nil"/>
              <w:left w:val="nil"/>
              <w:bottom w:val="nil"/>
              <w:right w:val="nil"/>
            </w:tcBorders>
            <w:shd w:val="clear" w:color="auto" w:fill="auto"/>
            <w:vAlign w:val="center"/>
          </w:tcPr>
          <w:p w14:paraId="0C3EA9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300</w:t>
            </w:r>
          </w:p>
        </w:tc>
        <w:tc>
          <w:tcPr>
            <w:tcW w:w="4220" w:type="dxa"/>
            <w:tcBorders>
              <w:top w:val="nil"/>
              <w:left w:val="nil"/>
              <w:bottom w:val="nil"/>
              <w:right w:val="nil"/>
            </w:tcBorders>
            <w:shd w:val="clear" w:color="auto" w:fill="auto"/>
            <w:vAlign w:val="center"/>
          </w:tcPr>
          <w:p w14:paraId="0D80F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吸光度、波长（如有）</w:t>
            </w:r>
          </w:p>
        </w:tc>
        <w:tc>
          <w:tcPr>
            <w:tcW w:w="700" w:type="dxa"/>
            <w:tcBorders>
              <w:top w:val="nil"/>
              <w:left w:val="nil"/>
              <w:bottom w:val="nil"/>
              <w:right w:val="nil"/>
            </w:tcBorders>
            <w:shd w:val="clear" w:color="auto" w:fill="auto"/>
            <w:vAlign w:val="center"/>
          </w:tcPr>
          <w:p w14:paraId="71C071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0740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61B2E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37</w:t>
            </w:r>
          </w:p>
        </w:tc>
        <w:tc>
          <w:tcPr>
            <w:tcW w:w="2208" w:type="dxa"/>
            <w:tcBorders>
              <w:top w:val="nil"/>
              <w:left w:val="nil"/>
              <w:bottom w:val="nil"/>
              <w:right w:val="nil"/>
            </w:tcBorders>
            <w:shd w:val="clear" w:color="auto" w:fill="auto"/>
            <w:vAlign w:val="center"/>
          </w:tcPr>
          <w:p w14:paraId="6CF017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洗板机</w:t>
            </w:r>
          </w:p>
        </w:tc>
        <w:tc>
          <w:tcPr>
            <w:tcW w:w="600" w:type="dxa"/>
            <w:tcBorders>
              <w:top w:val="nil"/>
              <w:left w:val="nil"/>
              <w:bottom w:val="nil"/>
              <w:right w:val="nil"/>
            </w:tcBorders>
            <w:shd w:val="clear" w:color="auto" w:fill="auto"/>
            <w:vAlign w:val="center"/>
          </w:tcPr>
          <w:p w14:paraId="0FF75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0" w:type="dxa"/>
            <w:tcBorders>
              <w:top w:val="nil"/>
              <w:left w:val="nil"/>
              <w:bottom w:val="nil"/>
              <w:right w:val="nil"/>
            </w:tcBorders>
            <w:shd w:val="clear" w:color="auto" w:fill="auto"/>
            <w:vAlign w:val="center"/>
          </w:tcPr>
          <w:p w14:paraId="6CBF6F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250</w:t>
            </w:r>
          </w:p>
        </w:tc>
        <w:tc>
          <w:tcPr>
            <w:tcW w:w="4220" w:type="dxa"/>
            <w:tcBorders>
              <w:top w:val="nil"/>
              <w:left w:val="nil"/>
              <w:bottom w:val="nil"/>
              <w:right w:val="nil"/>
            </w:tcBorders>
            <w:shd w:val="clear" w:color="auto" w:fill="auto"/>
            <w:vAlign w:val="center"/>
          </w:tcPr>
          <w:p w14:paraId="083AFE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容量，</w:t>
            </w:r>
            <w:r>
              <w:rPr>
                <w:rFonts w:hint="eastAsia" w:ascii="宋体" w:hAnsi="宋体" w:eastAsia="宋体" w:cs="宋体"/>
                <w:b w:val="0"/>
                <w:bCs w:val="0"/>
                <w:i w:val="0"/>
                <w:iCs w:val="0"/>
                <w:color w:val="auto"/>
                <w:kern w:val="0"/>
                <w:sz w:val="21"/>
                <w:szCs w:val="21"/>
                <w:u w:val="none"/>
                <w:lang w:val="en-US" w:eastAsia="zh-CN" w:bidi="ar"/>
              </w:rPr>
              <w:t>检测依据应体现“医用洗板机”</w:t>
            </w:r>
          </w:p>
        </w:tc>
        <w:tc>
          <w:tcPr>
            <w:tcW w:w="700" w:type="dxa"/>
            <w:tcBorders>
              <w:top w:val="nil"/>
              <w:left w:val="nil"/>
              <w:bottom w:val="nil"/>
              <w:right w:val="nil"/>
            </w:tcBorders>
            <w:shd w:val="clear" w:color="auto" w:fill="auto"/>
            <w:vAlign w:val="center"/>
          </w:tcPr>
          <w:p w14:paraId="3A83E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2FBD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553A9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38</w:t>
            </w:r>
          </w:p>
        </w:tc>
        <w:tc>
          <w:tcPr>
            <w:tcW w:w="2208" w:type="dxa"/>
            <w:tcBorders>
              <w:top w:val="nil"/>
              <w:left w:val="nil"/>
              <w:bottom w:val="nil"/>
              <w:right w:val="nil"/>
            </w:tcBorders>
            <w:shd w:val="clear" w:color="auto" w:fill="auto"/>
            <w:vAlign w:val="center"/>
          </w:tcPr>
          <w:p w14:paraId="4E4CC1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振荡器</w:t>
            </w:r>
          </w:p>
        </w:tc>
        <w:tc>
          <w:tcPr>
            <w:tcW w:w="600" w:type="dxa"/>
            <w:tcBorders>
              <w:top w:val="nil"/>
              <w:left w:val="nil"/>
              <w:bottom w:val="nil"/>
              <w:right w:val="nil"/>
            </w:tcBorders>
            <w:shd w:val="clear" w:color="auto" w:fill="auto"/>
            <w:vAlign w:val="center"/>
          </w:tcPr>
          <w:p w14:paraId="1EB0EE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40" w:type="dxa"/>
            <w:tcBorders>
              <w:top w:val="nil"/>
              <w:left w:val="nil"/>
              <w:bottom w:val="nil"/>
              <w:right w:val="nil"/>
            </w:tcBorders>
            <w:shd w:val="clear" w:color="auto" w:fill="auto"/>
            <w:vAlign w:val="center"/>
          </w:tcPr>
          <w:p w14:paraId="26050A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250</w:t>
            </w:r>
          </w:p>
        </w:tc>
        <w:tc>
          <w:tcPr>
            <w:tcW w:w="4220" w:type="dxa"/>
            <w:tcBorders>
              <w:top w:val="nil"/>
              <w:left w:val="nil"/>
              <w:bottom w:val="nil"/>
              <w:right w:val="nil"/>
            </w:tcBorders>
            <w:shd w:val="clear" w:color="auto" w:fill="auto"/>
            <w:vAlign w:val="center"/>
          </w:tcPr>
          <w:p w14:paraId="277A8B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sz w:val="21"/>
                <w:szCs w:val="21"/>
                <w:u w:val="none"/>
                <w:lang w:eastAsia="zh-CN"/>
              </w:rPr>
              <w:t>频率、时间</w:t>
            </w:r>
          </w:p>
        </w:tc>
        <w:tc>
          <w:tcPr>
            <w:tcW w:w="700" w:type="dxa"/>
            <w:tcBorders>
              <w:top w:val="nil"/>
              <w:left w:val="nil"/>
              <w:bottom w:val="nil"/>
              <w:right w:val="nil"/>
            </w:tcBorders>
            <w:shd w:val="clear" w:color="auto" w:fill="auto"/>
            <w:vAlign w:val="center"/>
          </w:tcPr>
          <w:p w14:paraId="7E122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39C6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0" w:type="dxa"/>
            <w:tcBorders>
              <w:top w:val="nil"/>
              <w:left w:val="nil"/>
              <w:bottom w:val="nil"/>
              <w:right w:val="nil"/>
            </w:tcBorders>
            <w:shd w:val="clear" w:color="auto" w:fill="auto"/>
            <w:noWrap/>
            <w:vAlign w:val="center"/>
          </w:tcPr>
          <w:p w14:paraId="6FF8C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39</w:t>
            </w:r>
          </w:p>
        </w:tc>
        <w:tc>
          <w:tcPr>
            <w:tcW w:w="2208" w:type="dxa"/>
            <w:tcBorders>
              <w:top w:val="nil"/>
              <w:left w:val="nil"/>
              <w:bottom w:val="nil"/>
              <w:right w:val="nil"/>
            </w:tcBorders>
            <w:shd w:val="clear" w:color="auto" w:fill="auto"/>
            <w:vAlign w:val="center"/>
          </w:tcPr>
          <w:p w14:paraId="6B283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质谱仪</w:t>
            </w:r>
          </w:p>
        </w:tc>
        <w:tc>
          <w:tcPr>
            <w:tcW w:w="600" w:type="dxa"/>
            <w:tcBorders>
              <w:top w:val="nil"/>
              <w:left w:val="nil"/>
              <w:bottom w:val="nil"/>
              <w:right w:val="nil"/>
            </w:tcBorders>
            <w:shd w:val="clear" w:color="auto" w:fill="auto"/>
            <w:vAlign w:val="center"/>
          </w:tcPr>
          <w:p w14:paraId="475C2F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0" w:type="dxa"/>
            <w:tcBorders>
              <w:top w:val="nil"/>
              <w:left w:val="nil"/>
              <w:bottom w:val="nil"/>
              <w:right w:val="nil"/>
            </w:tcBorders>
            <w:shd w:val="clear" w:color="auto" w:fill="auto"/>
            <w:vAlign w:val="center"/>
          </w:tcPr>
          <w:p w14:paraId="37CC0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3500</w:t>
            </w:r>
          </w:p>
        </w:tc>
        <w:tc>
          <w:tcPr>
            <w:tcW w:w="4220" w:type="dxa"/>
            <w:tcBorders>
              <w:top w:val="nil"/>
              <w:left w:val="nil"/>
              <w:bottom w:val="nil"/>
              <w:right w:val="nil"/>
            </w:tcBorders>
            <w:shd w:val="clear" w:color="auto" w:fill="auto"/>
            <w:vAlign w:val="center"/>
          </w:tcPr>
          <w:p w14:paraId="074FF2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信噪比</w:t>
            </w:r>
          </w:p>
        </w:tc>
        <w:tc>
          <w:tcPr>
            <w:tcW w:w="700" w:type="dxa"/>
            <w:tcBorders>
              <w:top w:val="nil"/>
              <w:left w:val="nil"/>
              <w:bottom w:val="nil"/>
              <w:right w:val="nil"/>
            </w:tcBorders>
            <w:shd w:val="clear" w:color="auto" w:fill="auto"/>
            <w:vAlign w:val="center"/>
          </w:tcPr>
          <w:p w14:paraId="2872ED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4778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71278B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40</w:t>
            </w:r>
          </w:p>
        </w:tc>
        <w:tc>
          <w:tcPr>
            <w:tcW w:w="2208" w:type="dxa"/>
            <w:tcBorders>
              <w:top w:val="nil"/>
              <w:left w:val="nil"/>
              <w:bottom w:val="nil"/>
              <w:right w:val="nil"/>
            </w:tcBorders>
            <w:shd w:val="clear" w:color="auto" w:fill="auto"/>
            <w:vAlign w:val="center"/>
          </w:tcPr>
          <w:p w14:paraId="11B38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注射泵</w:t>
            </w:r>
          </w:p>
        </w:tc>
        <w:tc>
          <w:tcPr>
            <w:tcW w:w="600" w:type="dxa"/>
            <w:tcBorders>
              <w:top w:val="nil"/>
              <w:left w:val="nil"/>
              <w:bottom w:val="nil"/>
              <w:right w:val="nil"/>
            </w:tcBorders>
            <w:shd w:val="clear" w:color="auto" w:fill="auto"/>
            <w:vAlign w:val="center"/>
          </w:tcPr>
          <w:p w14:paraId="2511CE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40" w:type="dxa"/>
            <w:tcBorders>
              <w:top w:val="nil"/>
              <w:left w:val="nil"/>
              <w:bottom w:val="nil"/>
              <w:right w:val="nil"/>
            </w:tcBorders>
            <w:shd w:val="clear" w:color="auto" w:fill="auto"/>
            <w:vAlign w:val="center"/>
          </w:tcPr>
          <w:p w14:paraId="4B087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180</w:t>
            </w:r>
          </w:p>
        </w:tc>
        <w:tc>
          <w:tcPr>
            <w:tcW w:w="4220" w:type="dxa"/>
            <w:tcBorders>
              <w:top w:val="nil"/>
              <w:left w:val="nil"/>
              <w:bottom w:val="nil"/>
              <w:right w:val="nil"/>
            </w:tcBorders>
            <w:shd w:val="clear" w:color="auto" w:fill="auto"/>
            <w:vAlign w:val="center"/>
          </w:tcPr>
          <w:p w14:paraId="3AA8D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流量、压力，</w:t>
            </w:r>
            <w:r>
              <w:rPr>
                <w:rFonts w:hint="eastAsia" w:ascii="宋体" w:hAnsi="宋体" w:eastAsia="宋体" w:cs="宋体"/>
                <w:b w:val="0"/>
                <w:bCs w:val="0"/>
                <w:i w:val="0"/>
                <w:iCs w:val="0"/>
                <w:color w:val="auto"/>
                <w:kern w:val="0"/>
                <w:sz w:val="21"/>
                <w:szCs w:val="21"/>
                <w:u w:val="none"/>
                <w:lang w:val="en-US" w:eastAsia="zh-CN" w:bidi="ar"/>
              </w:rPr>
              <w:t>检测依据：JJF1259-2018医用注射泵和输液泵校准规范</w:t>
            </w:r>
          </w:p>
        </w:tc>
        <w:tc>
          <w:tcPr>
            <w:tcW w:w="700" w:type="dxa"/>
            <w:tcBorders>
              <w:top w:val="nil"/>
              <w:left w:val="nil"/>
              <w:bottom w:val="nil"/>
              <w:right w:val="nil"/>
            </w:tcBorders>
            <w:shd w:val="clear" w:color="auto" w:fill="auto"/>
            <w:vAlign w:val="center"/>
          </w:tcPr>
          <w:p w14:paraId="7CB38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0F8D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4C9B7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41</w:t>
            </w:r>
          </w:p>
        </w:tc>
        <w:tc>
          <w:tcPr>
            <w:tcW w:w="2208" w:type="dxa"/>
            <w:tcBorders>
              <w:top w:val="nil"/>
              <w:left w:val="nil"/>
              <w:bottom w:val="nil"/>
              <w:right w:val="nil"/>
            </w:tcBorders>
            <w:shd w:val="clear" w:color="auto" w:fill="auto"/>
            <w:vAlign w:val="center"/>
          </w:tcPr>
          <w:p w14:paraId="3C7991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输液泵</w:t>
            </w:r>
          </w:p>
        </w:tc>
        <w:tc>
          <w:tcPr>
            <w:tcW w:w="600" w:type="dxa"/>
            <w:tcBorders>
              <w:top w:val="nil"/>
              <w:left w:val="nil"/>
              <w:bottom w:val="nil"/>
              <w:right w:val="nil"/>
            </w:tcBorders>
            <w:shd w:val="clear" w:color="auto" w:fill="auto"/>
            <w:vAlign w:val="center"/>
          </w:tcPr>
          <w:p w14:paraId="3009C8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30</w:t>
            </w:r>
          </w:p>
        </w:tc>
        <w:tc>
          <w:tcPr>
            <w:tcW w:w="740" w:type="dxa"/>
            <w:tcBorders>
              <w:top w:val="nil"/>
              <w:left w:val="nil"/>
              <w:bottom w:val="nil"/>
              <w:right w:val="nil"/>
            </w:tcBorders>
            <w:shd w:val="clear" w:color="auto" w:fill="auto"/>
            <w:vAlign w:val="center"/>
          </w:tcPr>
          <w:p w14:paraId="1E6D32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180</w:t>
            </w:r>
          </w:p>
        </w:tc>
        <w:tc>
          <w:tcPr>
            <w:tcW w:w="4220" w:type="dxa"/>
            <w:tcBorders>
              <w:top w:val="nil"/>
              <w:left w:val="nil"/>
              <w:bottom w:val="nil"/>
              <w:right w:val="nil"/>
            </w:tcBorders>
            <w:shd w:val="clear" w:color="auto" w:fill="auto"/>
            <w:vAlign w:val="center"/>
          </w:tcPr>
          <w:p w14:paraId="6CB62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流量、压力，</w:t>
            </w:r>
            <w:r>
              <w:rPr>
                <w:rFonts w:hint="eastAsia" w:ascii="宋体" w:hAnsi="宋体" w:eastAsia="宋体" w:cs="宋体"/>
                <w:b w:val="0"/>
                <w:bCs w:val="0"/>
                <w:i w:val="0"/>
                <w:iCs w:val="0"/>
                <w:color w:val="auto"/>
                <w:kern w:val="0"/>
                <w:sz w:val="21"/>
                <w:szCs w:val="21"/>
                <w:u w:val="none"/>
                <w:lang w:val="en-US" w:eastAsia="zh-CN" w:bidi="ar"/>
              </w:rPr>
              <w:t>检测依据：JJF1259-2018医用注射泵和输液泵校准规范</w:t>
            </w:r>
          </w:p>
        </w:tc>
        <w:tc>
          <w:tcPr>
            <w:tcW w:w="700" w:type="dxa"/>
            <w:tcBorders>
              <w:top w:val="nil"/>
              <w:left w:val="nil"/>
              <w:bottom w:val="nil"/>
              <w:right w:val="nil"/>
            </w:tcBorders>
            <w:shd w:val="clear" w:color="auto" w:fill="auto"/>
            <w:vAlign w:val="center"/>
          </w:tcPr>
          <w:p w14:paraId="4F57B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2950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6742E4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42</w:t>
            </w:r>
          </w:p>
        </w:tc>
        <w:tc>
          <w:tcPr>
            <w:tcW w:w="2208" w:type="dxa"/>
            <w:tcBorders>
              <w:top w:val="nil"/>
              <w:left w:val="nil"/>
              <w:bottom w:val="nil"/>
              <w:right w:val="nil"/>
            </w:tcBorders>
            <w:shd w:val="clear" w:color="auto" w:fill="auto"/>
            <w:vAlign w:val="center"/>
          </w:tcPr>
          <w:p w14:paraId="36727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尿液分析仪</w:t>
            </w:r>
          </w:p>
        </w:tc>
        <w:tc>
          <w:tcPr>
            <w:tcW w:w="600" w:type="dxa"/>
            <w:tcBorders>
              <w:top w:val="nil"/>
              <w:left w:val="nil"/>
              <w:bottom w:val="nil"/>
              <w:right w:val="nil"/>
            </w:tcBorders>
            <w:shd w:val="clear" w:color="auto" w:fill="auto"/>
            <w:vAlign w:val="center"/>
          </w:tcPr>
          <w:p w14:paraId="12F194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740" w:type="dxa"/>
            <w:tcBorders>
              <w:top w:val="nil"/>
              <w:left w:val="nil"/>
              <w:bottom w:val="nil"/>
              <w:right w:val="nil"/>
            </w:tcBorders>
            <w:shd w:val="clear" w:color="auto" w:fill="auto"/>
            <w:vAlign w:val="center"/>
          </w:tcPr>
          <w:p w14:paraId="4F5A9F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700</w:t>
            </w:r>
          </w:p>
        </w:tc>
        <w:tc>
          <w:tcPr>
            <w:tcW w:w="4220" w:type="dxa"/>
            <w:tcBorders>
              <w:top w:val="nil"/>
              <w:left w:val="nil"/>
              <w:bottom w:val="nil"/>
              <w:right w:val="nil"/>
            </w:tcBorders>
            <w:shd w:val="clear" w:color="auto" w:fill="auto"/>
            <w:vAlign w:val="center"/>
          </w:tcPr>
          <w:p w14:paraId="65C3B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default" w:ascii="宋体" w:hAnsi="宋体" w:eastAsia="宋体" w:cs="宋体"/>
                <w:b w:val="0"/>
                <w:bCs w:val="0"/>
                <w:i w:val="0"/>
                <w:iCs w:val="0"/>
                <w:color w:val="auto"/>
                <w:kern w:val="0"/>
                <w:sz w:val="21"/>
                <w:szCs w:val="21"/>
                <w:u w:val="none"/>
                <w:lang w:val="en-US" w:eastAsia="zh-CN" w:bidi="ar"/>
              </w:rPr>
              <w:t>葡萄糖；PH;相对密度;红细胞；白细胞；蛋白质</w:t>
            </w:r>
          </w:p>
        </w:tc>
        <w:tc>
          <w:tcPr>
            <w:tcW w:w="700" w:type="dxa"/>
            <w:tcBorders>
              <w:top w:val="nil"/>
              <w:left w:val="nil"/>
              <w:bottom w:val="nil"/>
              <w:right w:val="nil"/>
            </w:tcBorders>
            <w:shd w:val="clear" w:color="auto" w:fill="auto"/>
            <w:vAlign w:val="center"/>
          </w:tcPr>
          <w:p w14:paraId="21B2A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下场</w:t>
            </w:r>
          </w:p>
        </w:tc>
      </w:tr>
      <w:tr w14:paraId="1B9A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3A448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43</w:t>
            </w:r>
          </w:p>
        </w:tc>
        <w:tc>
          <w:tcPr>
            <w:tcW w:w="2208" w:type="dxa"/>
            <w:tcBorders>
              <w:top w:val="nil"/>
              <w:left w:val="nil"/>
              <w:bottom w:val="nil"/>
              <w:right w:val="nil"/>
            </w:tcBorders>
            <w:shd w:val="clear" w:color="auto" w:fill="auto"/>
            <w:vAlign w:val="center"/>
          </w:tcPr>
          <w:p w14:paraId="0B6FD3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计时器</w:t>
            </w:r>
          </w:p>
        </w:tc>
        <w:tc>
          <w:tcPr>
            <w:tcW w:w="600" w:type="dxa"/>
            <w:tcBorders>
              <w:top w:val="nil"/>
              <w:left w:val="nil"/>
              <w:bottom w:val="nil"/>
              <w:right w:val="nil"/>
            </w:tcBorders>
            <w:shd w:val="clear" w:color="auto" w:fill="auto"/>
            <w:vAlign w:val="center"/>
          </w:tcPr>
          <w:p w14:paraId="0E269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740" w:type="dxa"/>
            <w:tcBorders>
              <w:top w:val="nil"/>
              <w:left w:val="nil"/>
              <w:bottom w:val="nil"/>
              <w:right w:val="nil"/>
            </w:tcBorders>
            <w:shd w:val="clear" w:color="auto" w:fill="auto"/>
            <w:vAlign w:val="center"/>
          </w:tcPr>
          <w:p w14:paraId="0CD75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70</w:t>
            </w:r>
          </w:p>
        </w:tc>
        <w:tc>
          <w:tcPr>
            <w:tcW w:w="4220" w:type="dxa"/>
            <w:tcBorders>
              <w:top w:val="nil"/>
              <w:left w:val="nil"/>
              <w:bottom w:val="nil"/>
              <w:right w:val="nil"/>
            </w:tcBorders>
            <w:shd w:val="clear" w:color="auto" w:fill="auto"/>
            <w:vAlign w:val="center"/>
          </w:tcPr>
          <w:p w14:paraId="384A9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时间间隔</w:t>
            </w:r>
          </w:p>
        </w:tc>
        <w:tc>
          <w:tcPr>
            <w:tcW w:w="700" w:type="dxa"/>
            <w:tcBorders>
              <w:top w:val="nil"/>
              <w:left w:val="nil"/>
              <w:bottom w:val="nil"/>
              <w:right w:val="nil"/>
            </w:tcBorders>
            <w:shd w:val="clear" w:color="auto" w:fill="auto"/>
            <w:vAlign w:val="center"/>
          </w:tcPr>
          <w:p w14:paraId="38A9F3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21"/>
                <w:szCs w:val="21"/>
              </w:rPr>
            </w:pPr>
            <w:r>
              <w:rPr>
                <w:rFonts w:hint="eastAsia" w:ascii="宋体" w:hAnsi="宋体" w:eastAsia="宋体" w:cs="宋体"/>
                <w:b w:val="0"/>
                <w:bCs w:val="0"/>
                <w:i w:val="0"/>
                <w:iCs w:val="0"/>
                <w:color w:val="auto"/>
                <w:kern w:val="0"/>
                <w:sz w:val="21"/>
                <w:szCs w:val="21"/>
                <w:u w:val="none"/>
                <w:lang w:val="en-US" w:eastAsia="zh-CN" w:bidi="ar"/>
              </w:rPr>
              <w:t>取送</w:t>
            </w:r>
          </w:p>
        </w:tc>
      </w:tr>
      <w:tr w14:paraId="52B4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43E043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44</w:t>
            </w:r>
          </w:p>
        </w:tc>
        <w:tc>
          <w:tcPr>
            <w:tcW w:w="2208" w:type="dxa"/>
            <w:tcBorders>
              <w:top w:val="nil"/>
              <w:left w:val="nil"/>
              <w:bottom w:val="nil"/>
              <w:right w:val="nil"/>
            </w:tcBorders>
            <w:shd w:val="clear" w:color="auto" w:fill="auto"/>
            <w:vAlign w:val="center"/>
          </w:tcPr>
          <w:p w14:paraId="5DDA2C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温度监测系统性能验证</w:t>
            </w:r>
          </w:p>
        </w:tc>
        <w:tc>
          <w:tcPr>
            <w:tcW w:w="600" w:type="dxa"/>
            <w:tcBorders>
              <w:top w:val="nil"/>
              <w:left w:val="nil"/>
              <w:bottom w:val="nil"/>
              <w:right w:val="nil"/>
            </w:tcBorders>
            <w:shd w:val="clear" w:color="auto" w:fill="auto"/>
            <w:vAlign w:val="center"/>
          </w:tcPr>
          <w:p w14:paraId="5BBAD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w:t>
            </w:r>
          </w:p>
        </w:tc>
        <w:tc>
          <w:tcPr>
            <w:tcW w:w="740" w:type="dxa"/>
            <w:tcBorders>
              <w:top w:val="nil"/>
              <w:left w:val="nil"/>
              <w:bottom w:val="nil"/>
              <w:right w:val="nil"/>
            </w:tcBorders>
            <w:shd w:val="clear" w:color="auto" w:fill="auto"/>
            <w:vAlign w:val="center"/>
          </w:tcPr>
          <w:p w14:paraId="3E8B3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1200</w:t>
            </w:r>
          </w:p>
        </w:tc>
        <w:tc>
          <w:tcPr>
            <w:tcW w:w="4220" w:type="dxa"/>
            <w:tcBorders>
              <w:top w:val="nil"/>
              <w:left w:val="nil"/>
              <w:bottom w:val="nil"/>
              <w:right w:val="nil"/>
            </w:tcBorders>
            <w:shd w:val="clear" w:color="auto" w:fill="auto"/>
            <w:vAlign w:val="center"/>
          </w:tcPr>
          <w:p w14:paraId="6665AE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验证项目:温度监测系统性能</w:t>
            </w:r>
          </w:p>
          <w:p w14:paraId="6B67F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报告内容包括并不限于采集、传送、记录数据以及报警功能的确认</w:t>
            </w:r>
          </w:p>
          <w:p w14:paraId="6B2808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检测依据：GB/T 34399-2017《医药产品冷链物流温控设施设备验证性能确认技术规范》</w:t>
            </w:r>
          </w:p>
        </w:tc>
        <w:tc>
          <w:tcPr>
            <w:tcW w:w="700" w:type="dxa"/>
            <w:tcBorders>
              <w:top w:val="nil"/>
              <w:left w:val="nil"/>
              <w:bottom w:val="nil"/>
              <w:right w:val="nil"/>
            </w:tcBorders>
            <w:shd w:val="clear" w:color="auto" w:fill="auto"/>
            <w:vAlign w:val="center"/>
          </w:tcPr>
          <w:p w14:paraId="72F9A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下场</w:t>
            </w:r>
          </w:p>
        </w:tc>
      </w:tr>
      <w:tr w14:paraId="379B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5655C09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auto"/>
                <w:sz w:val="21"/>
                <w:szCs w:val="21"/>
                <w:u w:val="none"/>
                <w:lang w:eastAsia="zh-CN"/>
              </w:rPr>
            </w:pPr>
            <w:r>
              <w:rPr>
                <w:rFonts w:hint="eastAsia" w:ascii="宋体" w:hAnsi="宋体" w:eastAsia="宋体" w:cs="宋体"/>
                <w:b w:val="0"/>
                <w:bCs w:val="0"/>
                <w:i w:val="0"/>
                <w:iCs w:val="0"/>
                <w:color w:val="auto"/>
                <w:sz w:val="21"/>
                <w:szCs w:val="21"/>
                <w:u w:val="none"/>
                <w:lang w:eastAsia="zh-CN"/>
              </w:rPr>
              <w:t>二、</w:t>
            </w:r>
          </w:p>
        </w:tc>
        <w:tc>
          <w:tcPr>
            <w:tcW w:w="2208" w:type="dxa"/>
            <w:tcBorders>
              <w:top w:val="nil"/>
              <w:left w:val="nil"/>
              <w:bottom w:val="nil"/>
              <w:right w:val="nil"/>
            </w:tcBorders>
            <w:shd w:val="clear" w:color="auto" w:fill="auto"/>
            <w:vAlign w:val="center"/>
          </w:tcPr>
          <w:p w14:paraId="1FDB9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代送检项目：</w:t>
            </w:r>
          </w:p>
        </w:tc>
        <w:tc>
          <w:tcPr>
            <w:tcW w:w="600" w:type="dxa"/>
            <w:tcBorders>
              <w:top w:val="nil"/>
              <w:left w:val="nil"/>
              <w:bottom w:val="nil"/>
              <w:right w:val="nil"/>
            </w:tcBorders>
            <w:shd w:val="clear" w:color="auto" w:fill="auto"/>
            <w:vAlign w:val="center"/>
          </w:tcPr>
          <w:p w14:paraId="6C4CEED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auto"/>
                <w:sz w:val="21"/>
                <w:szCs w:val="21"/>
                <w:u w:val="none"/>
              </w:rPr>
            </w:pPr>
          </w:p>
        </w:tc>
        <w:tc>
          <w:tcPr>
            <w:tcW w:w="740" w:type="dxa"/>
            <w:tcBorders>
              <w:top w:val="nil"/>
              <w:left w:val="nil"/>
              <w:bottom w:val="nil"/>
              <w:right w:val="nil"/>
            </w:tcBorders>
            <w:shd w:val="clear" w:color="auto" w:fill="auto"/>
            <w:vAlign w:val="center"/>
          </w:tcPr>
          <w:p w14:paraId="1381384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auto"/>
                <w:sz w:val="21"/>
                <w:szCs w:val="21"/>
                <w:u w:val="none"/>
              </w:rPr>
            </w:pPr>
          </w:p>
        </w:tc>
        <w:tc>
          <w:tcPr>
            <w:tcW w:w="4220" w:type="dxa"/>
            <w:tcBorders>
              <w:top w:val="nil"/>
              <w:left w:val="nil"/>
              <w:bottom w:val="nil"/>
              <w:right w:val="nil"/>
            </w:tcBorders>
            <w:shd w:val="clear" w:color="auto" w:fill="auto"/>
            <w:vAlign w:val="center"/>
          </w:tcPr>
          <w:p w14:paraId="55D860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kern w:val="0"/>
                <w:sz w:val="21"/>
                <w:szCs w:val="21"/>
                <w:u w:val="none"/>
                <w:lang w:val="en-US" w:eastAsia="zh-CN" w:bidi="ar"/>
              </w:rPr>
              <w:t>投标人负责送法定检测机构或具有资质能力的第三方检测单位检测/检定/校准(检测依据为检定规程的出具检定证书，如使用部门有校准需求的出具校准证书），负责所有费用，包括并不限于检测费、服务费、邮递费等。</w:t>
            </w:r>
            <w:r>
              <w:rPr>
                <w:rFonts w:hint="eastAsia" w:ascii="宋体" w:hAnsi="宋体" w:eastAsia="宋体" w:cs="宋体"/>
                <w:b w:val="0"/>
                <w:bCs w:val="0"/>
                <w:i w:val="0"/>
                <w:iCs w:val="0"/>
                <w:color w:val="auto"/>
                <w:kern w:val="0"/>
                <w:sz w:val="21"/>
                <w:szCs w:val="21"/>
                <w:u w:val="none"/>
                <w:lang w:val="en-US" w:eastAsia="zh-CN" w:bidi="ar"/>
              </w:rPr>
              <w:t>根据计量法，属于检定项目的应就地就近送检。</w:t>
            </w:r>
          </w:p>
        </w:tc>
        <w:tc>
          <w:tcPr>
            <w:tcW w:w="700" w:type="dxa"/>
            <w:tcBorders>
              <w:top w:val="nil"/>
              <w:left w:val="nil"/>
              <w:bottom w:val="nil"/>
              <w:right w:val="nil"/>
            </w:tcBorders>
            <w:shd w:val="clear" w:color="auto" w:fill="auto"/>
            <w:vAlign w:val="center"/>
          </w:tcPr>
          <w:p w14:paraId="3F298B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auto"/>
                <w:sz w:val="21"/>
                <w:szCs w:val="21"/>
                <w:u w:val="none"/>
              </w:rPr>
            </w:pPr>
          </w:p>
        </w:tc>
      </w:tr>
      <w:tr w14:paraId="6D43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2653A5C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1</w:t>
            </w:r>
          </w:p>
        </w:tc>
        <w:tc>
          <w:tcPr>
            <w:tcW w:w="2208" w:type="dxa"/>
            <w:tcBorders>
              <w:top w:val="nil"/>
              <w:left w:val="nil"/>
              <w:bottom w:val="nil"/>
              <w:right w:val="nil"/>
            </w:tcBorders>
            <w:shd w:val="clear" w:color="auto" w:fill="auto"/>
            <w:vAlign w:val="center"/>
          </w:tcPr>
          <w:p w14:paraId="67581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放射性活度计</w:t>
            </w:r>
          </w:p>
        </w:tc>
        <w:tc>
          <w:tcPr>
            <w:tcW w:w="600" w:type="dxa"/>
            <w:tcBorders>
              <w:top w:val="nil"/>
              <w:left w:val="nil"/>
              <w:bottom w:val="nil"/>
              <w:right w:val="nil"/>
            </w:tcBorders>
            <w:shd w:val="clear" w:color="auto" w:fill="auto"/>
            <w:vAlign w:val="center"/>
          </w:tcPr>
          <w:p w14:paraId="735BA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40" w:type="dxa"/>
            <w:tcBorders>
              <w:top w:val="nil"/>
              <w:left w:val="nil"/>
              <w:bottom w:val="nil"/>
              <w:right w:val="nil"/>
            </w:tcBorders>
            <w:shd w:val="clear" w:color="auto" w:fill="auto"/>
            <w:vAlign w:val="center"/>
          </w:tcPr>
          <w:p w14:paraId="5049C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880</w:t>
            </w:r>
          </w:p>
        </w:tc>
        <w:tc>
          <w:tcPr>
            <w:tcW w:w="4220" w:type="dxa"/>
            <w:tcBorders>
              <w:top w:val="nil"/>
              <w:left w:val="nil"/>
              <w:bottom w:val="nil"/>
              <w:right w:val="nil"/>
            </w:tcBorders>
            <w:shd w:val="clear" w:color="auto" w:fill="auto"/>
            <w:vAlign w:val="center"/>
          </w:tcPr>
          <w:p w14:paraId="5AFDF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出具检定证书（锝碘氟不收费）</w:t>
            </w:r>
          </w:p>
        </w:tc>
        <w:tc>
          <w:tcPr>
            <w:tcW w:w="700" w:type="dxa"/>
            <w:tcBorders>
              <w:top w:val="nil"/>
              <w:left w:val="nil"/>
              <w:bottom w:val="nil"/>
              <w:right w:val="nil"/>
            </w:tcBorders>
            <w:shd w:val="clear" w:color="auto" w:fill="auto"/>
            <w:vAlign w:val="center"/>
          </w:tcPr>
          <w:p w14:paraId="146BF6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6BBA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493B51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w:t>
            </w:r>
          </w:p>
        </w:tc>
        <w:tc>
          <w:tcPr>
            <w:tcW w:w="2208" w:type="dxa"/>
            <w:tcBorders>
              <w:top w:val="nil"/>
              <w:left w:val="nil"/>
              <w:bottom w:val="nil"/>
              <w:right w:val="nil"/>
            </w:tcBorders>
            <w:shd w:val="clear" w:color="auto" w:fill="auto"/>
            <w:vAlign w:val="center"/>
          </w:tcPr>
          <w:p w14:paraId="63EAC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表面污染仪</w:t>
            </w:r>
          </w:p>
        </w:tc>
        <w:tc>
          <w:tcPr>
            <w:tcW w:w="600" w:type="dxa"/>
            <w:tcBorders>
              <w:top w:val="nil"/>
              <w:left w:val="nil"/>
              <w:bottom w:val="nil"/>
              <w:right w:val="nil"/>
            </w:tcBorders>
            <w:shd w:val="clear" w:color="auto" w:fill="auto"/>
            <w:vAlign w:val="center"/>
          </w:tcPr>
          <w:p w14:paraId="2C343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40" w:type="dxa"/>
            <w:tcBorders>
              <w:top w:val="nil"/>
              <w:left w:val="nil"/>
              <w:bottom w:val="nil"/>
              <w:right w:val="nil"/>
            </w:tcBorders>
            <w:shd w:val="clear" w:color="auto" w:fill="auto"/>
            <w:vAlign w:val="center"/>
          </w:tcPr>
          <w:p w14:paraId="47D6B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720</w:t>
            </w:r>
          </w:p>
        </w:tc>
        <w:tc>
          <w:tcPr>
            <w:tcW w:w="4220" w:type="dxa"/>
            <w:tcBorders>
              <w:top w:val="nil"/>
              <w:left w:val="nil"/>
              <w:bottom w:val="nil"/>
              <w:right w:val="nil"/>
            </w:tcBorders>
            <w:shd w:val="clear" w:color="auto" w:fill="auto"/>
            <w:vAlign w:val="center"/>
          </w:tcPr>
          <w:p w14:paraId="04458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700" w:type="dxa"/>
            <w:tcBorders>
              <w:top w:val="nil"/>
              <w:left w:val="nil"/>
              <w:bottom w:val="nil"/>
              <w:right w:val="nil"/>
            </w:tcBorders>
            <w:shd w:val="clear" w:color="auto" w:fill="auto"/>
            <w:vAlign w:val="center"/>
          </w:tcPr>
          <w:p w14:paraId="75E2E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6103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00" w:type="dxa"/>
            <w:tcBorders>
              <w:top w:val="nil"/>
              <w:left w:val="nil"/>
              <w:bottom w:val="nil"/>
              <w:right w:val="nil"/>
            </w:tcBorders>
            <w:shd w:val="clear" w:color="auto" w:fill="auto"/>
            <w:noWrap/>
            <w:vAlign w:val="center"/>
          </w:tcPr>
          <w:p w14:paraId="0026CB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3</w:t>
            </w:r>
          </w:p>
        </w:tc>
        <w:tc>
          <w:tcPr>
            <w:tcW w:w="2208" w:type="dxa"/>
            <w:tcBorders>
              <w:top w:val="nil"/>
              <w:left w:val="nil"/>
              <w:bottom w:val="nil"/>
              <w:right w:val="nil"/>
            </w:tcBorders>
            <w:shd w:val="clear" w:color="auto" w:fill="auto"/>
            <w:vAlign w:val="center"/>
          </w:tcPr>
          <w:p w14:paraId="68836B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X、γ辐射周围剂量当量率仪( 巡测仪)</w:t>
            </w:r>
          </w:p>
        </w:tc>
        <w:tc>
          <w:tcPr>
            <w:tcW w:w="600" w:type="dxa"/>
            <w:tcBorders>
              <w:top w:val="nil"/>
              <w:left w:val="nil"/>
              <w:bottom w:val="nil"/>
              <w:right w:val="nil"/>
            </w:tcBorders>
            <w:shd w:val="clear" w:color="auto" w:fill="auto"/>
            <w:vAlign w:val="center"/>
          </w:tcPr>
          <w:p w14:paraId="39CB03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740" w:type="dxa"/>
            <w:tcBorders>
              <w:top w:val="nil"/>
              <w:left w:val="nil"/>
              <w:bottom w:val="nil"/>
              <w:right w:val="nil"/>
            </w:tcBorders>
            <w:shd w:val="clear" w:color="auto" w:fill="auto"/>
            <w:vAlign w:val="center"/>
          </w:tcPr>
          <w:p w14:paraId="4B5BB2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1100</w:t>
            </w:r>
          </w:p>
        </w:tc>
        <w:tc>
          <w:tcPr>
            <w:tcW w:w="4220" w:type="dxa"/>
            <w:tcBorders>
              <w:top w:val="nil"/>
              <w:left w:val="nil"/>
              <w:bottom w:val="nil"/>
              <w:right w:val="nil"/>
            </w:tcBorders>
            <w:shd w:val="clear" w:color="auto" w:fill="auto"/>
            <w:vAlign w:val="center"/>
          </w:tcPr>
          <w:p w14:paraId="0843A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出具检定证书</w:t>
            </w:r>
          </w:p>
        </w:tc>
        <w:tc>
          <w:tcPr>
            <w:tcW w:w="700" w:type="dxa"/>
            <w:tcBorders>
              <w:top w:val="nil"/>
              <w:left w:val="nil"/>
              <w:bottom w:val="nil"/>
              <w:right w:val="nil"/>
            </w:tcBorders>
            <w:shd w:val="clear" w:color="auto" w:fill="auto"/>
            <w:vAlign w:val="center"/>
          </w:tcPr>
          <w:p w14:paraId="1C29FC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4D4E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nil"/>
              <w:left w:val="nil"/>
              <w:bottom w:val="nil"/>
              <w:right w:val="nil"/>
            </w:tcBorders>
            <w:shd w:val="clear" w:color="auto" w:fill="auto"/>
            <w:noWrap/>
            <w:vAlign w:val="center"/>
          </w:tcPr>
          <w:p w14:paraId="0F666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2208" w:type="dxa"/>
            <w:tcBorders>
              <w:top w:val="nil"/>
              <w:left w:val="nil"/>
              <w:bottom w:val="nil"/>
              <w:right w:val="nil"/>
            </w:tcBorders>
            <w:shd w:val="clear" w:color="auto" w:fill="auto"/>
            <w:vAlign w:val="center"/>
          </w:tcPr>
          <w:p w14:paraId="284F78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X、γ个人剂量监测仪</w:t>
            </w:r>
          </w:p>
        </w:tc>
        <w:tc>
          <w:tcPr>
            <w:tcW w:w="600" w:type="dxa"/>
            <w:tcBorders>
              <w:top w:val="nil"/>
              <w:left w:val="nil"/>
              <w:bottom w:val="nil"/>
              <w:right w:val="nil"/>
            </w:tcBorders>
            <w:shd w:val="clear" w:color="auto" w:fill="auto"/>
            <w:vAlign w:val="center"/>
          </w:tcPr>
          <w:p w14:paraId="6CAFD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w:t>
            </w:r>
          </w:p>
        </w:tc>
        <w:tc>
          <w:tcPr>
            <w:tcW w:w="740" w:type="dxa"/>
            <w:tcBorders>
              <w:top w:val="nil"/>
              <w:left w:val="nil"/>
              <w:bottom w:val="nil"/>
              <w:right w:val="nil"/>
            </w:tcBorders>
            <w:shd w:val="clear" w:color="auto" w:fill="auto"/>
            <w:vAlign w:val="center"/>
          </w:tcPr>
          <w:p w14:paraId="75B71D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1100</w:t>
            </w:r>
          </w:p>
        </w:tc>
        <w:tc>
          <w:tcPr>
            <w:tcW w:w="4220" w:type="dxa"/>
            <w:tcBorders>
              <w:top w:val="nil"/>
              <w:left w:val="nil"/>
              <w:bottom w:val="nil"/>
              <w:right w:val="nil"/>
            </w:tcBorders>
            <w:shd w:val="clear" w:color="auto" w:fill="auto"/>
            <w:vAlign w:val="center"/>
          </w:tcPr>
          <w:p w14:paraId="3CA8CF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出具检定证书</w:t>
            </w:r>
          </w:p>
        </w:tc>
        <w:tc>
          <w:tcPr>
            <w:tcW w:w="700" w:type="dxa"/>
            <w:tcBorders>
              <w:top w:val="nil"/>
              <w:left w:val="nil"/>
              <w:bottom w:val="nil"/>
              <w:right w:val="nil"/>
            </w:tcBorders>
            <w:shd w:val="clear" w:color="auto" w:fill="auto"/>
            <w:vAlign w:val="center"/>
          </w:tcPr>
          <w:p w14:paraId="37E7F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6EC7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 w:type="dxa"/>
            <w:tcBorders>
              <w:top w:val="nil"/>
              <w:left w:val="nil"/>
              <w:bottom w:val="nil"/>
              <w:right w:val="nil"/>
            </w:tcBorders>
            <w:shd w:val="clear" w:color="auto" w:fill="auto"/>
            <w:noWrap/>
            <w:vAlign w:val="center"/>
          </w:tcPr>
          <w:p w14:paraId="361E13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2208" w:type="dxa"/>
            <w:tcBorders>
              <w:top w:val="nil"/>
              <w:left w:val="nil"/>
              <w:bottom w:val="nil"/>
              <w:right w:val="nil"/>
            </w:tcBorders>
            <w:shd w:val="clear" w:color="auto" w:fill="auto"/>
            <w:vAlign w:val="center"/>
          </w:tcPr>
          <w:p w14:paraId="13DBE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井型电离室</w:t>
            </w:r>
          </w:p>
        </w:tc>
        <w:tc>
          <w:tcPr>
            <w:tcW w:w="600" w:type="dxa"/>
            <w:tcBorders>
              <w:top w:val="nil"/>
              <w:left w:val="nil"/>
              <w:bottom w:val="nil"/>
              <w:right w:val="nil"/>
            </w:tcBorders>
            <w:shd w:val="clear" w:color="auto" w:fill="auto"/>
            <w:vAlign w:val="center"/>
          </w:tcPr>
          <w:p w14:paraId="25B3D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0" w:type="dxa"/>
            <w:tcBorders>
              <w:top w:val="nil"/>
              <w:left w:val="nil"/>
              <w:bottom w:val="nil"/>
              <w:right w:val="nil"/>
            </w:tcBorders>
            <w:shd w:val="clear" w:color="auto" w:fill="auto"/>
            <w:vAlign w:val="center"/>
          </w:tcPr>
          <w:p w14:paraId="753B9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4000</w:t>
            </w:r>
          </w:p>
        </w:tc>
        <w:tc>
          <w:tcPr>
            <w:tcW w:w="4220" w:type="dxa"/>
            <w:tcBorders>
              <w:top w:val="nil"/>
              <w:left w:val="nil"/>
              <w:bottom w:val="nil"/>
              <w:right w:val="nil"/>
            </w:tcBorders>
            <w:shd w:val="clear" w:color="auto" w:fill="auto"/>
            <w:vAlign w:val="center"/>
          </w:tcPr>
          <w:p w14:paraId="0BB859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出具检定证书</w:t>
            </w:r>
          </w:p>
        </w:tc>
        <w:tc>
          <w:tcPr>
            <w:tcW w:w="700" w:type="dxa"/>
            <w:tcBorders>
              <w:top w:val="nil"/>
              <w:left w:val="nil"/>
              <w:bottom w:val="nil"/>
              <w:right w:val="nil"/>
            </w:tcBorders>
            <w:shd w:val="clear" w:color="auto" w:fill="auto"/>
            <w:vAlign w:val="center"/>
          </w:tcPr>
          <w:p w14:paraId="5C1A6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1F39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00" w:type="dxa"/>
            <w:tcBorders>
              <w:top w:val="nil"/>
              <w:left w:val="nil"/>
              <w:bottom w:val="nil"/>
              <w:right w:val="nil"/>
            </w:tcBorders>
            <w:shd w:val="clear" w:color="auto" w:fill="auto"/>
            <w:noWrap/>
            <w:vAlign w:val="center"/>
          </w:tcPr>
          <w:p w14:paraId="7E5B420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6</w:t>
            </w:r>
          </w:p>
        </w:tc>
        <w:tc>
          <w:tcPr>
            <w:tcW w:w="2208" w:type="dxa"/>
            <w:tcBorders>
              <w:top w:val="nil"/>
              <w:left w:val="nil"/>
              <w:bottom w:val="nil"/>
              <w:right w:val="nil"/>
            </w:tcBorders>
            <w:shd w:val="clear" w:color="auto" w:fill="auto"/>
            <w:vAlign w:val="center"/>
          </w:tcPr>
          <w:p w14:paraId="0FB81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剂量仪（包含0.6cc和0.125cc电离室）</w:t>
            </w:r>
          </w:p>
        </w:tc>
        <w:tc>
          <w:tcPr>
            <w:tcW w:w="600" w:type="dxa"/>
            <w:tcBorders>
              <w:top w:val="nil"/>
              <w:left w:val="nil"/>
              <w:bottom w:val="nil"/>
              <w:right w:val="nil"/>
            </w:tcBorders>
            <w:shd w:val="clear" w:color="auto" w:fill="auto"/>
            <w:vAlign w:val="center"/>
          </w:tcPr>
          <w:p w14:paraId="77F76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40" w:type="dxa"/>
            <w:tcBorders>
              <w:top w:val="nil"/>
              <w:left w:val="nil"/>
              <w:bottom w:val="nil"/>
              <w:right w:val="nil"/>
            </w:tcBorders>
            <w:shd w:val="clear" w:color="auto" w:fill="auto"/>
            <w:vAlign w:val="center"/>
          </w:tcPr>
          <w:p w14:paraId="605D0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5000</w:t>
            </w:r>
          </w:p>
        </w:tc>
        <w:tc>
          <w:tcPr>
            <w:tcW w:w="4220" w:type="dxa"/>
            <w:tcBorders>
              <w:top w:val="nil"/>
              <w:left w:val="nil"/>
              <w:bottom w:val="nil"/>
              <w:right w:val="nil"/>
            </w:tcBorders>
            <w:shd w:val="clear" w:color="auto" w:fill="auto"/>
            <w:vAlign w:val="center"/>
          </w:tcPr>
          <w:p w14:paraId="1EB44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出具检定证书</w:t>
            </w:r>
          </w:p>
        </w:tc>
        <w:tc>
          <w:tcPr>
            <w:tcW w:w="700" w:type="dxa"/>
            <w:tcBorders>
              <w:top w:val="nil"/>
              <w:left w:val="nil"/>
              <w:bottom w:val="nil"/>
              <w:right w:val="nil"/>
            </w:tcBorders>
            <w:shd w:val="clear" w:color="auto" w:fill="auto"/>
            <w:vAlign w:val="center"/>
          </w:tcPr>
          <w:p w14:paraId="157DBC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3EA2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nil"/>
              <w:left w:val="nil"/>
              <w:bottom w:val="nil"/>
              <w:right w:val="nil"/>
            </w:tcBorders>
            <w:shd w:val="clear" w:color="auto" w:fill="auto"/>
            <w:noWrap/>
            <w:vAlign w:val="center"/>
          </w:tcPr>
          <w:p w14:paraId="5F2BE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7</w:t>
            </w:r>
          </w:p>
        </w:tc>
        <w:tc>
          <w:tcPr>
            <w:tcW w:w="2208" w:type="dxa"/>
            <w:tcBorders>
              <w:top w:val="nil"/>
              <w:left w:val="nil"/>
              <w:bottom w:val="nil"/>
              <w:right w:val="nil"/>
            </w:tcBorders>
            <w:shd w:val="clear" w:color="auto" w:fill="auto"/>
            <w:vAlign w:val="center"/>
          </w:tcPr>
          <w:p w14:paraId="3E547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呼气式酒精测试仪</w:t>
            </w:r>
          </w:p>
        </w:tc>
        <w:tc>
          <w:tcPr>
            <w:tcW w:w="600" w:type="dxa"/>
            <w:tcBorders>
              <w:top w:val="nil"/>
              <w:left w:val="nil"/>
              <w:bottom w:val="nil"/>
              <w:right w:val="nil"/>
            </w:tcBorders>
            <w:shd w:val="clear" w:color="auto" w:fill="auto"/>
            <w:vAlign w:val="center"/>
          </w:tcPr>
          <w:p w14:paraId="47D609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40" w:type="dxa"/>
            <w:tcBorders>
              <w:top w:val="nil"/>
              <w:left w:val="nil"/>
              <w:bottom w:val="nil"/>
              <w:right w:val="nil"/>
            </w:tcBorders>
            <w:shd w:val="clear" w:color="auto" w:fill="auto"/>
            <w:noWrap/>
            <w:vAlign w:val="center"/>
          </w:tcPr>
          <w:p w14:paraId="3146D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840</w:t>
            </w:r>
          </w:p>
        </w:tc>
        <w:tc>
          <w:tcPr>
            <w:tcW w:w="4220" w:type="dxa"/>
            <w:tcBorders>
              <w:top w:val="nil"/>
              <w:left w:val="nil"/>
              <w:bottom w:val="nil"/>
              <w:right w:val="nil"/>
            </w:tcBorders>
            <w:shd w:val="clear" w:color="auto" w:fill="auto"/>
            <w:noWrap/>
            <w:vAlign w:val="center"/>
          </w:tcPr>
          <w:p w14:paraId="154CB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出具检定证书</w:t>
            </w:r>
          </w:p>
        </w:tc>
        <w:tc>
          <w:tcPr>
            <w:tcW w:w="700" w:type="dxa"/>
            <w:tcBorders>
              <w:top w:val="nil"/>
              <w:left w:val="nil"/>
              <w:bottom w:val="nil"/>
              <w:right w:val="nil"/>
            </w:tcBorders>
            <w:shd w:val="clear" w:color="auto" w:fill="auto"/>
            <w:noWrap/>
            <w:vAlign w:val="center"/>
          </w:tcPr>
          <w:p w14:paraId="5A161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7C21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nil"/>
              <w:left w:val="nil"/>
              <w:bottom w:val="nil"/>
              <w:right w:val="nil"/>
            </w:tcBorders>
            <w:shd w:val="clear" w:color="auto" w:fill="auto"/>
            <w:noWrap/>
            <w:vAlign w:val="center"/>
          </w:tcPr>
          <w:p w14:paraId="3CBCB4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8</w:t>
            </w:r>
          </w:p>
        </w:tc>
        <w:tc>
          <w:tcPr>
            <w:tcW w:w="2208" w:type="dxa"/>
            <w:tcBorders>
              <w:top w:val="nil"/>
              <w:left w:val="nil"/>
              <w:bottom w:val="nil"/>
              <w:right w:val="nil"/>
            </w:tcBorders>
            <w:shd w:val="clear" w:color="auto" w:fill="auto"/>
            <w:vAlign w:val="center"/>
          </w:tcPr>
          <w:p w14:paraId="13A1A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医用超声源</w:t>
            </w:r>
          </w:p>
        </w:tc>
        <w:tc>
          <w:tcPr>
            <w:tcW w:w="600" w:type="dxa"/>
            <w:tcBorders>
              <w:top w:val="nil"/>
              <w:left w:val="nil"/>
              <w:bottom w:val="nil"/>
              <w:right w:val="nil"/>
            </w:tcBorders>
            <w:shd w:val="clear" w:color="auto" w:fill="auto"/>
            <w:vAlign w:val="center"/>
          </w:tcPr>
          <w:p w14:paraId="5042D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20</w:t>
            </w:r>
          </w:p>
        </w:tc>
        <w:tc>
          <w:tcPr>
            <w:tcW w:w="740" w:type="dxa"/>
            <w:tcBorders>
              <w:top w:val="nil"/>
              <w:left w:val="nil"/>
              <w:bottom w:val="nil"/>
              <w:right w:val="nil"/>
            </w:tcBorders>
            <w:shd w:val="clear" w:color="auto" w:fill="auto"/>
            <w:noWrap/>
            <w:vAlign w:val="center"/>
          </w:tcPr>
          <w:p w14:paraId="49FB96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380</w:t>
            </w:r>
          </w:p>
        </w:tc>
        <w:tc>
          <w:tcPr>
            <w:tcW w:w="4220" w:type="dxa"/>
            <w:tcBorders>
              <w:top w:val="nil"/>
              <w:left w:val="nil"/>
              <w:bottom w:val="nil"/>
              <w:right w:val="nil"/>
            </w:tcBorders>
            <w:shd w:val="clear" w:color="auto" w:fill="auto"/>
            <w:noWrap/>
            <w:vAlign w:val="center"/>
          </w:tcPr>
          <w:p w14:paraId="64F8A1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出具检定证书</w:t>
            </w:r>
          </w:p>
        </w:tc>
        <w:tc>
          <w:tcPr>
            <w:tcW w:w="700" w:type="dxa"/>
            <w:tcBorders>
              <w:top w:val="nil"/>
              <w:left w:val="nil"/>
              <w:bottom w:val="nil"/>
              <w:right w:val="nil"/>
            </w:tcBorders>
            <w:shd w:val="clear" w:color="auto" w:fill="auto"/>
            <w:noWrap/>
            <w:vAlign w:val="center"/>
          </w:tcPr>
          <w:p w14:paraId="4088F4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下场</w:t>
            </w:r>
          </w:p>
        </w:tc>
      </w:tr>
      <w:tr w14:paraId="34B5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nil"/>
              <w:left w:val="nil"/>
              <w:bottom w:val="nil"/>
              <w:right w:val="nil"/>
            </w:tcBorders>
            <w:shd w:val="clear" w:color="auto" w:fill="auto"/>
            <w:noWrap/>
            <w:vAlign w:val="center"/>
          </w:tcPr>
          <w:p w14:paraId="27D89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9</w:t>
            </w:r>
          </w:p>
        </w:tc>
        <w:tc>
          <w:tcPr>
            <w:tcW w:w="2208" w:type="dxa"/>
            <w:tcBorders>
              <w:top w:val="nil"/>
              <w:left w:val="nil"/>
              <w:bottom w:val="nil"/>
              <w:right w:val="nil"/>
            </w:tcBorders>
            <w:shd w:val="clear" w:color="auto" w:fill="auto"/>
            <w:vAlign w:val="center"/>
          </w:tcPr>
          <w:p w14:paraId="573CE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安全阀</w:t>
            </w:r>
          </w:p>
        </w:tc>
        <w:tc>
          <w:tcPr>
            <w:tcW w:w="600" w:type="dxa"/>
            <w:tcBorders>
              <w:top w:val="nil"/>
              <w:left w:val="nil"/>
              <w:bottom w:val="nil"/>
              <w:right w:val="nil"/>
            </w:tcBorders>
            <w:shd w:val="clear" w:color="auto" w:fill="auto"/>
            <w:vAlign w:val="center"/>
          </w:tcPr>
          <w:p w14:paraId="215D9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45</w:t>
            </w:r>
          </w:p>
        </w:tc>
        <w:tc>
          <w:tcPr>
            <w:tcW w:w="740" w:type="dxa"/>
            <w:tcBorders>
              <w:top w:val="nil"/>
              <w:left w:val="nil"/>
              <w:bottom w:val="nil"/>
              <w:right w:val="nil"/>
            </w:tcBorders>
            <w:shd w:val="clear" w:color="auto" w:fill="auto"/>
            <w:noWrap/>
            <w:vAlign w:val="center"/>
          </w:tcPr>
          <w:p w14:paraId="02A3EA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80</w:t>
            </w:r>
          </w:p>
        </w:tc>
        <w:tc>
          <w:tcPr>
            <w:tcW w:w="4220" w:type="dxa"/>
            <w:tcBorders>
              <w:top w:val="nil"/>
              <w:left w:val="nil"/>
              <w:bottom w:val="nil"/>
              <w:right w:val="nil"/>
            </w:tcBorders>
            <w:shd w:val="clear" w:color="auto" w:fill="auto"/>
            <w:noWrap/>
            <w:vAlign w:val="center"/>
          </w:tcPr>
          <w:p w14:paraId="47765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不论口径大小，证书应符合特检院要求</w:t>
            </w:r>
          </w:p>
        </w:tc>
        <w:tc>
          <w:tcPr>
            <w:tcW w:w="700" w:type="dxa"/>
            <w:tcBorders>
              <w:top w:val="nil"/>
              <w:left w:val="nil"/>
              <w:bottom w:val="nil"/>
              <w:right w:val="nil"/>
            </w:tcBorders>
            <w:shd w:val="clear" w:color="auto" w:fill="auto"/>
            <w:noWrap/>
            <w:vAlign w:val="center"/>
          </w:tcPr>
          <w:p w14:paraId="06AF8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r w14:paraId="017D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nil"/>
              <w:left w:val="nil"/>
              <w:bottom w:val="nil"/>
              <w:right w:val="nil"/>
            </w:tcBorders>
            <w:shd w:val="clear" w:color="auto" w:fill="auto"/>
            <w:noWrap/>
            <w:vAlign w:val="center"/>
          </w:tcPr>
          <w:p w14:paraId="418B1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三、</w:t>
            </w:r>
          </w:p>
        </w:tc>
        <w:tc>
          <w:tcPr>
            <w:tcW w:w="2208" w:type="dxa"/>
            <w:tcBorders>
              <w:top w:val="nil"/>
              <w:left w:val="nil"/>
              <w:bottom w:val="nil"/>
              <w:right w:val="nil"/>
            </w:tcBorders>
            <w:shd w:val="clear" w:color="auto" w:fill="auto"/>
            <w:vAlign w:val="center"/>
          </w:tcPr>
          <w:p w14:paraId="2D5F9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取送件服务</w:t>
            </w:r>
          </w:p>
        </w:tc>
        <w:tc>
          <w:tcPr>
            <w:tcW w:w="600" w:type="dxa"/>
            <w:tcBorders>
              <w:top w:val="nil"/>
              <w:left w:val="nil"/>
              <w:bottom w:val="nil"/>
              <w:right w:val="nil"/>
            </w:tcBorders>
            <w:shd w:val="clear" w:color="auto" w:fill="auto"/>
            <w:vAlign w:val="center"/>
          </w:tcPr>
          <w:p w14:paraId="4E0961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w:t>
            </w:r>
          </w:p>
        </w:tc>
        <w:tc>
          <w:tcPr>
            <w:tcW w:w="740" w:type="dxa"/>
            <w:tcBorders>
              <w:top w:val="nil"/>
              <w:left w:val="nil"/>
              <w:bottom w:val="nil"/>
              <w:right w:val="nil"/>
            </w:tcBorders>
            <w:shd w:val="clear" w:color="auto" w:fill="auto"/>
            <w:noWrap/>
            <w:vAlign w:val="center"/>
          </w:tcPr>
          <w:p w14:paraId="2C1BF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70</w:t>
            </w:r>
          </w:p>
        </w:tc>
        <w:tc>
          <w:tcPr>
            <w:tcW w:w="4220" w:type="dxa"/>
            <w:tcBorders>
              <w:top w:val="nil"/>
              <w:left w:val="nil"/>
              <w:bottom w:val="nil"/>
              <w:right w:val="nil"/>
            </w:tcBorders>
            <w:shd w:val="clear" w:color="auto" w:fill="auto"/>
            <w:noWrap/>
            <w:vAlign w:val="center"/>
          </w:tcPr>
          <w:p w14:paraId="4097E7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投标人负责取送强检器具至福建省计量科学研究院闽侯基地，并负责取回</w:t>
            </w:r>
          </w:p>
        </w:tc>
        <w:tc>
          <w:tcPr>
            <w:tcW w:w="700" w:type="dxa"/>
            <w:tcBorders>
              <w:top w:val="nil"/>
              <w:left w:val="nil"/>
              <w:bottom w:val="nil"/>
              <w:right w:val="nil"/>
            </w:tcBorders>
            <w:shd w:val="clear" w:color="auto" w:fill="auto"/>
            <w:noWrap/>
            <w:vAlign w:val="center"/>
          </w:tcPr>
          <w:p w14:paraId="66BB6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取送</w:t>
            </w:r>
          </w:p>
        </w:tc>
      </w:tr>
    </w:tbl>
    <w:p w14:paraId="592E4368">
      <w:pPr>
        <w:pStyle w:val="6"/>
        <w:keepNext w:val="0"/>
        <w:keepLines w:val="0"/>
        <w:pageBreakBefore w:val="0"/>
        <w:widowControl/>
        <w:numPr>
          <w:ilvl w:val="0"/>
          <w:numId w:val="0"/>
        </w:numPr>
        <w:kinsoku/>
        <w:wordWrap/>
        <w:overflowPunct/>
        <w:topLinePunct w:val="0"/>
        <w:autoSpaceDE/>
        <w:autoSpaceDN/>
        <w:bidi w:val="0"/>
        <w:adjustRightInd/>
        <w:snapToGrid/>
        <w:spacing w:before="150" w:beforeAutospacing="0" w:line="300" w:lineRule="exact"/>
        <w:jc w:val="both"/>
        <w:rPr>
          <w:rStyle w:val="9"/>
          <w:rFonts w:hint="eastAsia" w:ascii="宋体" w:hAnsi="宋体" w:eastAsia="宋体" w:cs="宋体"/>
          <w:b w:val="0"/>
          <w:bCs w:val="0"/>
          <w:color w:val="auto"/>
          <w:lang w:eastAsia="zh-CN"/>
        </w:rPr>
      </w:pPr>
      <w:r>
        <w:rPr>
          <w:rStyle w:val="9"/>
          <w:rFonts w:hint="eastAsia" w:ascii="宋体" w:hAnsi="宋体" w:eastAsia="宋体" w:cs="宋体"/>
          <w:b w:val="0"/>
          <w:bCs w:val="0"/>
          <w:color w:val="auto"/>
          <w:lang w:eastAsia="zh-CN"/>
        </w:rPr>
        <w:t>备注：</w:t>
      </w:r>
      <w:r>
        <w:rPr>
          <w:rStyle w:val="9"/>
          <w:rFonts w:hint="eastAsia" w:ascii="宋体" w:hAnsi="宋体" w:eastAsia="宋体" w:cs="宋体"/>
          <w:b w:val="0"/>
          <w:bCs w:val="0"/>
          <w:color w:val="auto"/>
          <w:lang w:eastAsia="zh-CN"/>
        </w:rPr>
        <w:t>如有新增器具项目，与上述有相同校准参数的项目，价格可依据同类项目；无同类项目的按下一年度谈判价格。</w:t>
      </w:r>
    </w:p>
    <w:p w14:paraId="2334F08A">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default" w:ascii="宋体" w:hAnsi="宋体" w:eastAsia="宋体" w:cs="宋体"/>
          <w:b w:val="0"/>
          <w:bCs w:val="0"/>
          <w:color w:val="auto"/>
          <w:sz w:val="25"/>
          <w:szCs w:val="25"/>
          <w:lang w:val="en-US" w:eastAsia="zh-CN"/>
        </w:rPr>
      </w:pPr>
      <w:r>
        <w:rPr>
          <w:rFonts w:hint="eastAsia" w:ascii="宋体" w:hAnsi="宋体" w:eastAsia="宋体" w:cs="宋体"/>
          <w:b w:val="0"/>
          <w:bCs w:val="0"/>
          <w:i w:val="0"/>
          <w:iCs w:val="0"/>
          <w:color w:val="auto"/>
          <w:kern w:val="0"/>
          <w:sz w:val="21"/>
          <w:szCs w:val="21"/>
          <w:u w:val="none"/>
          <w:lang w:val="en-US" w:eastAsia="zh-CN" w:bidi="ar"/>
        </w:rPr>
        <w:t>2.检测项目涉及标准物质的，提供溯源证明文件，否则不予验收</w:t>
      </w:r>
    </w:p>
    <w:p w14:paraId="3543F95C">
      <w:pPr>
        <w:pStyle w:val="6"/>
        <w:keepNext w:val="0"/>
        <w:keepLines w:val="0"/>
        <w:pageBreakBefore w:val="0"/>
        <w:widowControl/>
        <w:kinsoku/>
        <w:wordWrap/>
        <w:overflowPunct/>
        <w:topLinePunct w:val="0"/>
        <w:autoSpaceDE/>
        <w:autoSpaceDN/>
        <w:bidi w:val="0"/>
        <w:adjustRightInd/>
        <w:snapToGrid/>
        <w:spacing w:before="150" w:beforeAutospacing="0" w:line="300" w:lineRule="exact"/>
        <w:jc w:val="both"/>
        <w:rPr>
          <w:rStyle w:val="9"/>
          <w:rFonts w:hint="default" w:ascii="宋体" w:hAnsi="宋体" w:eastAsia="宋体" w:cs="宋体"/>
          <w:b w:val="0"/>
          <w:bCs w:val="0"/>
          <w:color w:val="auto"/>
          <w:lang w:val="en-US"/>
        </w:rPr>
      </w:pPr>
      <w:r>
        <w:rPr>
          <w:rStyle w:val="9"/>
          <w:rFonts w:hint="eastAsia" w:ascii="宋体" w:hAnsi="宋体" w:eastAsia="宋体" w:cs="宋体"/>
          <w:b w:val="0"/>
          <w:bCs w:val="0"/>
          <w:color w:val="auto"/>
          <w:lang w:val="en-US" w:eastAsia="zh-CN"/>
        </w:rPr>
        <w:t>3.</w:t>
      </w:r>
      <w:r>
        <w:rPr>
          <w:rStyle w:val="9"/>
          <w:rFonts w:hint="eastAsia" w:ascii="宋体" w:hAnsi="宋体" w:eastAsia="宋体" w:cs="宋体"/>
          <w:b w:val="0"/>
          <w:bCs w:val="0"/>
          <w:color w:val="auto"/>
          <w:lang w:eastAsia="zh-CN"/>
        </w:rPr>
        <w:t>检测方法或规范有合格判定的，应在证书中体现合格判定</w:t>
      </w:r>
    </w:p>
    <w:p w14:paraId="44CC29A4">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Style w:val="9"/>
          <w:rFonts w:hint="eastAsia" w:ascii="宋体" w:hAnsi="宋体" w:eastAsia="宋体" w:cs="宋体"/>
          <w:b w:val="0"/>
          <w:bCs w:val="0"/>
          <w:color w:val="auto"/>
        </w:rPr>
        <w:t>（二）技术服务要求：出具的校准</w:t>
      </w:r>
      <w:r>
        <w:rPr>
          <w:rStyle w:val="9"/>
          <w:rFonts w:hint="eastAsia" w:ascii="宋体" w:hAnsi="宋体" w:eastAsia="宋体" w:cs="宋体"/>
          <w:b w:val="0"/>
          <w:bCs w:val="0"/>
          <w:color w:val="auto"/>
          <w:lang w:val="en-US" w:eastAsia="zh-CN"/>
        </w:rPr>
        <w:t>/检测/检定</w:t>
      </w:r>
      <w:r>
        <w:rPr>
          <w:rStyle w:val="9"/>
          <w:rFonts w:hint="eastAsia" w:ascii="宋体" w:hAnsi="宋体" w:eastAsia="宋体" w:cs="宋体"/>
          <w:b w:val="0"/>
          <w:bCs w:val="0"/>
          <w:color w:val="auto"/>
        </w:rPr>
        <w:t>证书均需</w:t>
      </w:r>
      <w:r>
        <w:rPr>
          <w:rStyle w:val="9"/>
          <w:rFonts w:hint="eastAsia" w:ascii="宋体" w:hAnsi="宋体" w:eastAsia="宋体" w:cs="宋体"/>
          <w:b w:val="0"/>
          <w:bCs w:val="0"/>
          <w:color w:val="auto"/>
          <w:lang w:eastAsia="zh-CN"/>
        </w:rPr>
        <w:t>有</w:t>
      </w:r>
      <w:r>
        <w:rPr>
          <w:rStyle w:val="9"/>
          <w:rFonts w:hint="eastAsia" w:ascii="宋体" w:hAnsi="宋体" w:eastAsia="宋体" w:cs="宋体"/>
          <w:b w:val="0"/>
          <w:bCs w:val="0"/>
          <w:color w:val="auto"/>
        </w:rPr>
        <w:t>CNAS或CMA标志。</w:t>
      </w:r>
    </w:p>
    <w:p w14:paraId="525EFC12">
      <w:pPr>
        <w:pStyle w:val="6"/>
        <w:keepNext w:val="0"/>
        <w:keepLines w:val="0"/>
        <w:pageBreakBefore w:val="0"/>
        <w:widowControl/>
        <w:numPr>
          <w:ilvl w:val="0"/>
          <w:numId w:val="3"/>
        </w:numPr>
        <w:kinsoku/>
        <w:wordWrap/>
        <w:overflowPunct/>
        <w:topLinePunct w:val="0"/>
        <w:autoSpaceDE/>
        <w:autoSpaceDN/>
        <w:bidi w:val="0"/>
        <w:adjustRightInd/>
        <w:snapToGrid/>
        <w:spacing w:before="150" w:beforeAutospacing="0" w:line="300" w:lineRule="exact"/>
        <w:ind w:firstLine="420"/>
        <w:jc w:val="both"/>
        <w:rPr>
          <w:rStyle w:val="9"/>
          <w:rFonts w:hint="eastAsia" w:ascii="宋体" w:hAnsi="宋体" w:eastAsia="宋体" w:cs="宋体"/>
          <w:b w:val="0"/>
          <w:bCs w:val="0"/>
          <w:color w:val="auto"/>
        </w:rPr>
      </w:pPr>
      <w:r>
        <w:rPr>
          <w:rStyle w:val="9"/>
          <w:rFonts w:hint="eastAsia" w:ascii="宋体" w:hAnsi="宋体" w:eastAsia="宋体" w:cs="宋体"/>
          <w:b w:val="0"/>
          <w:bCs w:val="0"/>
          <w:color w:val="auto"/>
        </w:rPr>
        <w:t>服务方式及时间要求 </w:t>
      </w:r>
    </w:p>
    <w:p w14:paraId="07990BE3">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（1）上门服务：自双方约定上门服务之日起七个工作日内完成</w:t>
      </w:r>
      <w:r>
        <w:rPr>
          <w:rFonts w:hint="eastAsia" w:ascii="宋体" w:hAnsi="宋体" w:eastAsia="宋体" w:cs="宋体"/>
          <w:b w:val="0"/>
          <w:bCs w:val="0"/>
          <w:color w:val="auto"/>
          <w:lang w:eastAsia="zh-CN"/>
        </w:rPr>
        <w:t>器具</w:t>
      </w:r>
      <w:r>
        <w:rPr>
          <w:rFonts w:hint="eastAsia" w:ascii="宋体" w:hAnsi="宋体" w:eastAsia="宋体" w:cs="宋体"/>
          <w:b w:val="0"/>
          <w:bCs w:val="0"/>
          <w:color w:val="auto"/>
        </w:rPr>
        <w:t>校准、出具证书等事项；</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人应在采购单位人员陪同下，严格按照检测/校准规程进行</w:t>
      </w:r>
      <w:r>
        <w:rPr>
          <w:rFonts w:hint="eastAsia" w:ascii="宋体" w:hAnsi="宋体" w:eastAsia="宋体" w:cs="宋体"/>
          <w:b w:val="0"/>
          <w:bCs w:val="0"/>
          <w:color w:val="auto"/>
          <w:lang w:eastAsia="zh-CN"/>
        </w:rPr>
        <w:t>器具校准</w:t>
      </w:r>
      <w:r>
        <w:rPr>
          <w:rFonts w:hint="eastAsia" w:ascii="宋体" w:hAnsi="宋体" w:eastAsia="宋体" w:cs="宋体"/>
          <w:b w:val="0"/>
          <w:bCs w:val="0"/>
          <w:color w:val="auto"/>
        </w:rPr>
        <w:t>。</w:t>
      </w:r>
    </w:p>
    <w:p w14:paraId="3BA3DA86">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（2）取送服务：自双方约定之日</w:t>
      </w:r>
      <w:r>
        <w:rPr>
          <w:rFonts w:hint="eastAsia" w:ascii="宋体" w:hAnsi="宋体" w:eastAsia="宋体" w:cs="宋体"/>
          <w:b w:val="0"/>
          <w:bCs w:val="0"/>
          <w:color w:val="auto"/>
          <w:lang w:eastAsia="zh-CN"/>
        </w:rPr>
        <w:t>中标人</w:t>
      </w:r>
      <w:r>
        <w:rPr>
          <w:rFonts w:hint="eastAsia" w:ascii="宋体" w:hAnsi="宋体" w:eastAsia="宋体" w:cs="宋体"/>
          <w:b w:val="0"/>
          <w:bCs w:val="0"/>
          <w:color w:val="auto"/>
        </w:rPr>
        <w:t>到达指定地点</w:t>
      </w:r>
      <w:r>
        <w:rPr>
          <w:rFonts w:hint="eastAsia" w:ascii="宋体" w:hAnsi="宋体" w:eastAsia="宋体" w:cs="宋体"/>
          <w:b w:val="0"/>
          <w:bCs w:val="0"/>
          <w:color w:val="auto"/>
          <w:lang w:eastAsia="zh-CN"/>
        </w:rPr>
        <w:t>取件</w:t>
      </w:r>
      <w:r>
        <w:rPr>
          <w:rFonts w:hint="eastAsia" w:ascii="宋体" w:hAnsi="宋体" w:eastAsia="宋体" w:cs="宋体"/>
          <w:b w:val="0"/>
          <w:bCs w:val="0"/>
          <w:color w:val="auto"/>
        </w:rPr>
        <w:t>，和采购单位一起，共同清点</w:t>
      </w:r>
      <w:r>
        <w:rPr>
          <w:rFonts w:hint="eastAsia" w:ascii="宋体" w:hAnsi="宋体" w:eastAsia="宋体" w:cs="宋体"/>
          <w:b w:val="0"/>
          <w:bCs w:val="0"/>
          <w:color w:val="auto"/>
          <w:lang w:eastAsia="zh-CN"/>
        </w:rPr>
        <w:t>器具</w:t>
      </w:r>
      <w:r>
        <w:rPr>
          <w:rFonts w:hint="eastAsia" w:ascii="宋体" w:hAnsi="宋体" w:eastAsia="宋体" w:cs="宋体"/>
          <w:b w:val="0"/>
          <w:bCs w:val="0"/>
          <w:color w:val="auto"/>
        </w:rPr>
        <w:t>名称型号数目、检查外观，作好记录，双方签字确认。并在七个工作日内完成</w:t>
      </w:r>
      <w:r>
        <w:rPr>
          <w:rFonts w:hint="eastAsia" w:ascii="宋体" w:hAnsi="宋体" w:eastAsia="宋体" w:cs="宋体"/>
          <w:b w:val="0"/>
          <w:bCs w:val="0"/>
          <w:color w:val="auto"/>
          <w:lang w:eastAsia="zh-CN"/>
        </w:rPr>
        <w:t>器具</w:t>
      </w:r>
      <w:r>
        <w:rPr>
          <w:rFonts w:hint="eastAsia" w:ascii="宋体" w:hAnsi="宋体" w:eastAsia="宋体" w:cs="宋体"/>
          <w:b w:val="0"/>
          <w:bCs w:val="0"/>
          <w:color w:val="auto"/>
        </w:rPr>
        <w:t>校准、出具证书</w:t>
      </w:r>
      <w:r>
        <w:rPr>
          <w:rFonts w:hint="eastAsia" w:ascii="宋体" w:hAnsi="宋体" w:eastAsia="宋体" w:cs="宋体"/>
          <w:b w:val="0"/>
          <w:bCs w:val="0"/>
          <w:color w:val="auto"/>
          <w:lang w:eastAsia="zh-CN"/>
        </w:rPr>
        <w:t>、送件</w:t>
      </w:r>
      <w:r>
        <w:rPr>
          <w:rFonts w:hint="eastAsia" w:ascii="宋体" w:hAnsi="宋体" w:eastAsia="宋体" w:cs="宋体"/>
          <w:b w:val="0"/>
          <w:bCs w:val="0"/>
          <w:color w:val="auto"/>
        </w:rPr>
        <w:t>等事项；并保证</w:t>
      </w:r>
      <w:r>
        <w:rPr>
          <w:rFonts w:hint="eastAsia" w:ascii="宋体" w:hAnsi="宋体" w:eastAsia="宋体" w:cs="宋体"/>
          <w:b w:val="0"/>
          <w:bCs w:val="0"/>
          <w:color w:val="auto"/>
          <w:lang w:eastAsia="zh-CN"/>
        </w:rPr>
        <w:t>器具</w:t>
      </w:r>
      <w:r>
        <w:rPr>
          <w:rFonts w:hint="eastAsia" w:ascii="宋体" w:hAnsi="宋体" w:eastAsia="宋体" w:cs="宋体"/>
          <w:b w:val="0"/>
          <w:bCs w:val="0"/>
          <w:color w:val="auto"/>
        </w:rPr>
        <w:t>完好无损，如有缺漏、损坏，由</w:t>
      </w:r>
      <w:r>
        <w:rPr>
          <w:rFonts w:hint="eastAsia" w:ascii="宋体" w:hAnsi="宋体" w:eastAsia="宋体" w:cs="宋体"/>
          <w:b w:val="0"/>
          <w:bCs w:val="0"/>
          <w:color w:val="auto"/>
          <w:lang w:eastAsia="zh-CN"/>
        </w:rPr>
        <w:t>中标人</w:t>
      </w:r>
      <w:r>
        <w:rPr>
          <w:rFonts w:hint="eastAsia" w:ascii="宋体" w:hAnsi="宋体" w:eastAsia="宋体" w:cs="宋体"/>
          <w:b w:val="0"/>
          <w:bCs w:val="0"/>
          <w:color w:val="auto"/>
        </w:rPr>
        <w:t>进行修理或赔偿。</w:t>
      </w:r>
    </w:p>
    <w:p w14:paraId="291316FC">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lang w:eastAsia="zh-CN"/>
        </w:rPr>
      </w:pPr>
      <w:r>
        <w:rPr>
          <w:rFonts w:hint="eastAsia" w:ascii="宋体" w:hAnsi="宋体" w:eastAsia="宋体" w:cs="宋体"/>
          <w:b w:val="0"/>
          <w:bCs w:val="0"/>
          <w:color w:val="auto"/>
        </w:rPr>
        <w:t>（3）</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人完成各项检测/校准服务后，应提供完备的技术资料、检测或校准证书等</w:t>
      </w:r>
      <w:r>
        <w:rPr>
          <w:rFonts w:hint="eastAsia" w:ascii="宋体" w:hAnsi="宋体" w:eastAsia="宋体" w:cs="宋体"/>
          <w:b w:val="0"/>
          <w:bCs w:val="0"/>
          <w:color w:val="auto"/>
          <w:lang w:eastAsia="zh-CN"/>
        </w:rPr>
        <w:t>。</w:t>
      </w:r>
    </w:p>
    <w:p w14:paraId="6992C909">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（4）</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人应按所承诺的检测/校准方式进行检测/校准，检测/校准服务过程中所需工具、仪表、标样、试剂等均由</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供应商负责提供。</w:t>
      </w:r>
    </w:p>
    <w:p w14:paraId="2A54BF2C">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（5）</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人负责组织专业技术人员进行检测/校准，招标人应提供必须的基本条件和专人配合，保证各项检测/校准工作顺利进行。</w:t>
      </w:r>
    </w:p>
    <w:p w14:paraId="27105068">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（6）</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人在检定/校准过程及验收时所发生的一切费用由</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供应商承担。</w:t>
      </w:r>
    </w:p>
    <w:p w14:paraId="1FD29A27">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（7）报告提交：完检的计量器具和相应出具的校准证书须及时返回。</w:t>
      </w:r>
    </w:p>
    <w:p w14:paraId="172BA1B4">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（8）在服务期间内，招标人有权派人到</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人检测场所进行监督，</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人必须为招标人的监督提供便利和配合。</w:t>
      </w:r>
    </w:p>
    <w:p w14:paraId="160FFE40">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Style w:val="9"/>
          <w:rFonts w:hint="eastAsia" w:ascii="宋体" w:hAnsi="宋体" w:eastAsia="宋体" w:cs="宋体"/>
          <w:b w:val="0"/>
          <w:bCs w:val="0"/>
          <w:color w:val="auto"/>
        </w:rPr>
        <w:t>（四）验收合格条件</w:t>
      </w:r>
    </w:p>
    <w:p w14:paraId="4C116325">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（1）检测/校准完毕的计量器具在运抵交货地点后，招标人应组织</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人共同验收，验收内容包括但不限于计量器具的有关数量、规格、校准项目等方面。在验收过程中，如发现计量器具存在短缺、损坏等情形或</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人存在其他不符合合同约定的检测/校准服务要求规定的情况，双方应共同在交接清单中详细记录并由双方验收人员签字确认。交接清单对双方具有同等法律效力，并作为招标人向</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人提出替换、修理及补充的有效证明。</w:t>
      </w:r>
    </w:p>
    <w:p w14:paraId="6025804E">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（2）</w:t>
      </w:r>
      <w:r>
        <w:rPr>
          <w:rFonts w:hint="eastAsia" w:ascii="宋体" w:hAnsi="宋体" w:eastAsia="宋体" w:cs="宋体"/>
          <w:b w:val="0"/>
          <w:bCs w:val="0"/>
          <w:color w:val="auto"/>
          <w:sz w:val="25"/>
          <w:szCs w:val="25"/>
        </w:rPr>
        <w:t>下场服务检测</w:t>
      </w:r>
      <w:r>
        <w:rPr>
          <w:rFonts w:hint="eastAsia" w:ascii="宋体" w:hAnsi="宋体" w:eastAsia="宋体" w:cs="宋体"/>
          <w:b w:val="0"/>
          <w:bCs w:val="0"/>
          <w:color w:val="auto"/>
          <w:sz w:val="25"/>
          <w:szCs w:val="25"/>
          <w:lang w:val="en-US" w:eastAsia="zh-CN"/>
        </w:rPr>
        <w:t>/</w:t>
      </w:r>
      <w:r>
        <w:rPr>
          <w:rFonts w:hint="eastAsia" w:ascii="宋体" w:hAnsi="宋体" w:eastAsia="宋体" w:cs="宋体"/>
          <w:b w:val="0"/>
          <w:bCs w:val="0"/>
          <w:color w:val="auto"/>
          <w:sz w:val="25"/>
          <w:szCs w:val="25"/>
        </w:rPr>
        <w:t>校准合格应</w:t>
      </w:r>
      <w:r>
        <w:rPr>
          <w:rFonts w:hint="eastAsia" w:ascii="宋体" w:hAnsi="宋体" w:eastAsia="宋体" w:cs="宋体"/>
          <w:b w:val="0"/>
          <w:bCs w:val="0"/>
          <w:color w:val="auto"/>
          <w:sz w:val="25"/>
          <w:szCs w:val="25"/>
        </w:rPr>
        <w:t>现场贴标</w:t>
      </w:r>
      <w:r>
        <w:rPr>
          <w:rFonts w:hint="eastAsia" w:ascii="宋体" w:hAnsi="宋体" w:eastAsia="宋体" w:cs="宋体"/>
          <w:b w:val="0"/>
          <w:bCs w:val="0"/>
          <w:color w:val="auto"/>
          <w:sz w:val="25"/>
          <w:szCs w:val="25"/>
        </w:rPr>
        <w:t>；每台（件）</w:t>
      </w:r>
      <w:r>
        <w:rPr>
          <w:rFonts w:hint="eastAsia" w:ascii="宋体" w:hAnsi="宋体" w:eastAsia="宋体" w:cs="宋体"/>
          <w:b w:val="0"/>
          <w:bCs w:val="0"/>
          <w:color w:val="auto"/>
          <w:sz w:val="25"/>
          <w:szCs w:val="25"/>
          <w:lang w:eastAsia="zh-CN"/>
        </w:rPr>
        <w:t>器具</w:t>
      </w:r>
      <w:r>
        <w:rPr>
          <w:rFonts w:hint="eastAsia" w:ascii="宋体" w:hAnsi="宋体" w:eastAsia="宋体" w:cs="宋体"/>
          <w:b w:val="0"/>
          <w:bCs w:val="0"/>
          <w:color w:val="auto"/>
          <w:sz w:val="25"/>
          <w:szCs w:val="25"/>
        </w:rPr>
        <w:t>均应有检测或校准标贴，标贴应能防油防水</w:t>
      </w:r>
      <w:r>
        <w:rPr>
          <w:rFonts w:hint="eastAsia" w:ascii="宋体" w:hAnsi="宋体" w:eastAsia="宋体" w:cs="宋体"/>
          <w:b w:val="0"/>
          <w:bCs w:val="0"/>
          <w:color w:val="auto"/>
          <w:sz w:val="25"/>
          <w:szCs w:val="25"/>
          <w:lang w:eastAsia="zh-CN"/>
        </w:rPr>
        <w:t>、</w:t>
      </w:r>
      <w:r>
        <w:rPr>
          <w:rFonts w:hint="eastAsia" w:ascii="宋体" w:hAnsi="宋体" w:eastAsia="宋体" w:cs="宋体"/>
          <w:b w:val="0"/>
          <w:bCs w:val="0"/>
          <w:color w:val="auto"/>
          <w:sz w:val="25"/>
          <w:szCs w:val="25"/>
        </w:rPr>
        <w:t>体现使用科室。</w:t>
      </w:r>
      <w:r>
        <w:rPr>
          <w:rFonts w:hint="eastAsia" w:ascii="宋体" w:hAnsi="宋体" w:eastAsia="宋体" w:cs="宋体"/>
          <w:b w:val="0"/>
          <w:bCs w:val="0"/>
          <w:color w:val="auto"/>
          <w:lang w:eastAsia="zh-CN"/>
        </w:rPr>
        <w:t>器具</w:t>
      </w:r>
      <w:r>
        <w:rPr>
          <w:rFonts w:hint="eastAsia" w:ascii="宋体" w:hAnsi="宋体" w:eastAsia="宋体" w:cs="宋体"/>
          <w:b w:val="0"/>
          <w:bCs w:val="0"/>
          <w:color w:val="auto"/>
        </w:rPr>
        <w:t>检测/校准证书符合有关要求，证书上应有资质认定或实验室认可标识。</w:t>
      </w:r>
    </w:p>
    <w:p w14:paraId="76FD6EE1">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default" w:ascii="宋体" w:hAnsi="宋体" w:eastAsia="宋体" w:cs="宋体"/>
          <w:b w:val="0"/>
          <w:bCs w:val="0"/>
          <w:color w:val="auto"/>
          <w:sz w:val="25"/>
          <w:szCs w:val="25"/>
          <w:lang w:val="en-US" w:eastAsia="zh-CN"/>
        </w:rPr>
      </w:pPr>
      <w:r>
        <w:rPr>
          <w:rFonts w:hint="eastAsia" w:ascii="宋体" w:hAnsi="宋体" w:eastAsia="宋体" w:cs="宋体"/>
          <w:b w:val="0"/>
          <w:bCs w:val="0"/>
          <w:color w:val="auto"/>
        </w:rPr>
        <w:t>（3）每台（件）</w:t>
      </w:r>
      <w:r>
        <w:rPr>
          <w:rFonts w:hint="eastAsia" w:ascii="宋体" w:hAnsi="宋体" w:eastAsia="宋体" w:cs="宋体"/>
          <w:b w:val="0"/>
          <w:bCs w:val="0"/>
          <w:color w:val="auto"/>
          <w:lang w:eastAsia="zh-CN"/>
        </w:rPr>
        <w:t>器具</w:t>
      </w:r>
      <w:r>
        <w:rPr>
          <w:rFonts w:hint="eastAsia" w:ascii="宋体" w:hAnsi="宋体" w:eastAsia="宋体" w:cs="宋体"/>
          <w:b w:val="0"/>
          <w:bCs w:val="0"/>
          <w:color w:val="auto"/>
        </w:rPr>
        <w:t>均应有</w:t>
      </w:r>
      <w:r>
        <w:rPr>
          <w:rFonts w:hint="eastAsia" w:ascii="宋体" w:hAnsi="宋体" w:eastAsia="宋体" w:cs="宋体"/>
          <w:b w:val="0"/>
          <w:bCs w:val="0"/>
          <w:color w:val="auto"/>
          <w:lang w:eastAsia="zh-CN"/>
        </w:rPr>
        <w:t>纸质版和</w:t>
      </w:r>
      <w:r>
        <w:rPr>
          <w:rFonts w:hint="eastAsia" w:ascii="宋体" w:hAnsi="宋体" w:eastAsia="宋体" w:cs="宋体"/>
          <w:b w:val="0"/>
          <w:bCs w:val="0"/>
          <w:color w:val="auto"/>
          <w:lang w:eastAsia="zh-CN"/>
        </w:rPr>
        <w:t>电子版</w:t>
      </w:r>
      <w:r>
        <w:rPr>
          <w:rFonts w:hint="eastAsia" w:ascii="宋体" w:hAnsi="宋体" w:eastAsia="宋体" w:cs="宋体"/>
          <w:b w:val="0"/>
          <w:bCs w:val="0"/>
          <w:color w:val="auto"/>
        </w:rPr>
        <w:t>校准</w:t>
      </w:r>
      <w:r>
        <w:rPr>
          <w:rFonts w:hint="eastAsia" w:ascii="宋体" w:hAnsi="宋体" w:eastAsia="宋体" w:cs="宋体"/>
          <w:b w:val="0"/>
          <w:bCs w:val="0"/>
          <w:color w:val="auto"/>
          <w:lang w:val="en-US" w:eastAsia="zh-CN"/>
        </w:rPr>
        <w:t>/检测</w:t>
      </w:r>
      <w:r>
        <w:rPr>
          <w:rFonts w:hint="eastAsia" w:ascii="宋体" w:hAnsi="宋体" w:eastAsia="宋体" w:cs="宋体"/>
          <w:b w:val="0"/>
          <w:bCs w:val="0"/>
          <w:color w:val="auto"/>
        </w:rPr>
        <w:t>证书，且证书上有</w:t>
      </w:r>
      <w:r>
        <w:rPr>
          <w:rFonts w:hint="eastAsia" w:ascii="宋体" w:hAnsi="宋体" w:eastAsia="宋体" w:cs="宋体"/>
          <w:b w:val="0"/>
          <w:bCs w:val="0"/>
          <w:color w:val="auto"/>
          <w:lang w:eastAsia="zh-CN"/>
        </w:rPr>
        <w:t>器具</w:t>
      </w:r>
      <w:r>
        <w:rPr>
          <w:rFonts w:hint="eastAsia" w:ascii="宋体" w:hAnsi="宋体" w:eastAsia="宋体" w:cs="宋体"/>
          <w:b w:val="0"/>
          <w:bCs w:val="0"/>
          <w:color w:val="auto"/>
        </w:rPr>
        <w:t>相关准确信息及唯一标识</w:t>
      </w:r>
      <w:r>
        <w:rPr>
          <w:rFonts w:hint="eastAsia" w:ascii="宋体" w:hAnsi="宋体" w:eastAsia="宋体" w:cs="宋体"/>
          <w:b w:val="0"/>
          <w:bCs w:val="0"/>
          <w:color w:val="auto"/>
          <w:sz w:val="25"/>
          <w:szCs w:val="25"/>
        </w:rPr>
        <w:t>,</w:t>
      </w:r>
      <w:r>
        <w:rPr>
          <w:rFonts w:hint="eastAsia" w:ascii="宋体" w:hAnsi="宋体" w:eastAsia="宋体" w:cs="宋体"/>
          <w:b w:val="0"/>
          <w:bCs w:val="0"/>
          <w:color w:val="auto"/>
          <w:sz w:val="25"/>
          <w:szCs w:val="25"/>
        </w:rPr>
        <w:t>证书</w:t>
      </w:r>
      <w:r>
        <w:rPr>
          <w:rFonts w:hint="eastAsia" w:ascii="宋体" w:hAnsi="宋体" w:eastAsia="宋体" w:cs="宋体"/>
          <w:b w:val="0"/>
          <w:bCs w:val="0"/>
          <w:color w:val="auto"/>
          <w:sz w:val="25"/>
          <w:szCs w:val="25"/>
          <w:lang w:eastAsia="zh-CN"/>
        </w:rPr>
        <w:t>封面</w:t>
      </w:r>
      <w:r>
        <w:rPr>
          <w:rFonts w:hint="eastAsia" w:ascii="宋体" w:hAnsi="宋体" w:eastAsia="宋体" w:cs="宋体"/>
          <w:b w:val="0"/>
          <w:bCs w:val="0"/>
          <w:color w:val="auto"/>
          <w:sz w:val="25"/>
          <w:szCs w:val="25"/>
        </w:rPr>
        <w:t>能体现</w:t>
      </w:r>
      <w:r>
        <w:rPr>
          <w:rFonts w:hint="eastAsia" w:ascii="宋体" w:hAnsi="宋体" w:eastAsia="宋体" w:cs="宋体"/>
          <w:b w:val="0"/>
          <w:bCs w:val="0"/>
          <w:color w:val="auto"/>
          <w:sz w:val="25"/>
          <w:szCs w:val="25"/>
          <w:lang w:eastAsia="zh-CN"/>
        </w:rPr>
        <w:t>使用地点，包括并不限于</w:t>
      </w:r>
      <w:r>
        <w:rPr>
          <w:rFonts w:hint="eastAsia" w:ascii="宋体" w:hAnsi="宋体" w:eastAsia="宋体" w:cs="宋体"/>
          <w:b w:val="0"/>
          <w:bCs w:val="0"/>
          <w:color w:val="auto"/>
          <w:sz w:val="25"/>
          <w:szCs w:val="25"/>
          <w:lang w:val="en-US" w:eastAsia="zh-CN"/>
        </w:rPr>
        <w:t>楼号、房间号或</w:t>
      </w:r>
      <w:r>
        <w:rPr>
          <w:rFonts w:hint="eastAsia" w:ascii="宋体" w:hAnsi="宋体" w:eastAsia="宋体" w:cs="宋体"/>
          <w:b w:val="0"/>
          <w:bCs w:val="0"/>
          <w:color w:val="auto"/>
          <w:sz w:val="25"/>
          <w:szCs w:val="25"/>
        </w:rPr>
        <w:t>使用科室</w:t>
      </w:r>
      <w:r>
        <w:rPr>
          <w:rFonts w:hint="eastAsia" w:ascii="宋体" w:hAnsi="宋体" w:eastAsia="宋体" w:cs="宋体"/>
          <w:b w:val="0"/>
          <w:bCs w:val="0"/>
          <w:color w:val="auto"/>
          <w:sz w:val="25"/>
          <w:szCs w:val="25"/>
          <w:lang w:eastAsia="zh-CN"/>
        </w:rPr>
        <w:t>等，如有多个分布，应在科室名称后加分布组或地点，如</w:t>
      </w:r>
      <w:r>
        <w:rPr>
          <w:rFonts w:hint="eastAsia" w:ascii="宋体" w:hAnsi="宋体" w:eastAsia="宋体" w:cs="宋体"/>
          <w:b w:val="0"/>
          <w:bCs w:val="0"/>
          <w:color w:val="auto"/>
          <w:sz w:val="25"/>
          <w:szCs w:val="25"/>
          <w:lang w:val="en-US" w:eastAsia="zh-CN"/>
        </w:rPr>
        <w:t>XX科室-XX组</w:t>
      </w:r>
      <w:r>
        <w:rPr>
          <w:rFonts w:hint="eastAsia" w:ascii="宋体" w:hAnsi="宋体" w:eastAsia="宋体" w:cs="宋体"/>
          <w:b w:val="0"/>
          <w:bCs w:val="0"/>
          <w:color w:val="auto"/>
          <w:sz w:val="25"/>
          <w:szCs w:val="25"/>
          <w:lang w:val="en-US" w:eastAsia="zh-CN"/>
        </w:rPr>
        <w:t>或</w:t>
      </w:r>
      <w:r>
        <w:rPr>
          <w:rFonts w:hint="eastAsia" w:ascii="宋体" w:hAnsi="宋体" w:eastAsia="宋体" w:cs="宋体"/>
          <w:b w:val="0"/>
          <w:bCs w:val="0"/>
          <w:color w:val="auto"/>
          <w:sz w:val="25"/>
          <w:szCs w:val="25"/>
          <w:lang w:val="en-US" w:eastAsia="zh-CN"/>
        </w:rPr>
        <w:t>XX科室-X号楼X层X室</w:t>
      </w:r>
      <w:r>
        <w:rPr>
          <w:rFonts w:hint="eastAsia" w:ascii="宋体" w:hAnsi="宋体" w:eastAsia="宋体" w:cs="宋体"/>
          <w:b w:val="0"/>
          <w:bCs w:val="0"/>
          <w:color w:val="auto"/>
          <w:sz w:val="25"/>
          <w:szCs w:val="25"/>
          <w:lang w:eastAsia="zh-CN"/>
        </w:rPr>
        <w:t>校准证书</w:t>
      </w:r>
      <w:r>
        <w:rPr>
          <w:rFonts w:hint="eastAsia" w:ascii="宋体" w:hAnsi="宋体" w:eastAsia="宋体" w:cs="宋体"/>
          <w:b w:val="0"/>
          <w:bCs w:val="0"/>
          <w:color w:val="auto"/>
          <w:sz w:val="25"/>
          <w:szCs w:val="25"/>
          <w:lang w:eastAsia="zh-CN"/>
        </w:rPr>
        <w:t>仅体现医院未体现具体使用地点的（</w:t>
      </w:r>
      <w:r>
        <w:rPr>
          <w:rFonts w:hint="eastAsia" w:ascii="宋体" w:hAnsi="宋体" w:eastAsia="宋体" w:cs="宋体"/>
          <w:b w:val="0"/>
          <w:bCs w:val="0"/>
          <w:color w:val="auto"/>
          <w:sz w:val="25"/>
          <w:szCs w:val="25"/>
          <w:lang w:eastAsia="zh-CN"/>
        </w:rPr>
        <w:t>包括并不限于</w:t>
      </w:r>
      <w:r>
        <w:rPr>
          <w:rFonts w:hint="eastAsia" w:ascii="宋体" w:hAnsi="宋体" w:eastAsia="宋体" w:cs="宋体"/>
          <w:b w:val="0"/>
          <w:bCs w:val="0"/>
          <w:color w:val="auto"/>
          <w:sz w:val="25"/>
          <w:szCs w:val="25"/>
          <w:lang w:val="en-US" w:eastAsia="zh-CN"/>
        </w:rPr>
        <w:t>楼号、房间号或</w:t>
      </w:r>
      <w:r>
        <w:rPr>
          <w:rFonts w:hint="eastAsia" w:ascii="宋体" w:hAnsi="宋体" w:eastAsia="宋体" w:cs="宋体"/>
          <w:b w:val="0"/>
          <w:bCs w:val="0"/>
          <w:color w:val="auto"/>
          <w:sz w:val="25"/>
          <w:szCs w:val="25"/>
        </w:rPr>
        <w:t>使用科室</w:t>
      </w:r>
      <w:r>
        <w:rPr>
          <w:rFonts w:hint="eastAsia" w:ascii="宋体" w:hAnsi="宋体" w:eastAsia="宋体" w:cs="宋体"/>
          <w:b w:val="0"/>
          <w:bCs w:val="0"/>
          <w:color w:val="auto"/>
          <w:sz w:val="25"/>
          <w:szCs w:val="25"/>
          <w:lang w:eastAsia="zh-CN"/>
        </w:rPr>
        <w:t>等），则</w:t>
      </w:r>
      <w:r>
        <w:rPr>
          <w:rFonts w:hint="eastAsia" w:ascii="宋体" w:hAnsi="宋体" w:eastAsia="宋体" w:cs="宋体"/>
          <w:b w:val="0"/>
          <w:bCs w:val="0"/>
          <w:color w:val="auto"/>
          <w:sz w:val="25"/>
          <w:szCs w:val="25"/>
          <w:lang w:eastAsia="zh-CN"/>
        </w:rPr>
        <w:t>验收不合格</w:t>
      </w:r>
      <w:r>
        <w:rPr>
          <w:rFonts w:hint="eastAsia" w:ascii="宋体" w:hAnsi="宋体" w:eastAsia="宋体" w:cs="宋体"/>
          <w:b w:val="0"/>
          <w:bCs w:val="0"/>
          <w:color w:val="auto"/>
          <w:sz w:val="25"/>
          <w:szCs w:val="25"/>
          <w:lang w:eastAsia="zh-CN"/>
        </w:rPr>
        <w:t>。</w:t>
      </w:r>
      <w:r>
        <w:rPr>
          <w:rFonts w:hint="eastAsia" w:ascii="宋体" w:hAnsi="宋体" w:eastAsia="宋体" w:cs="宋体"/>
          <w:b w:val="0"/>
          <w:bCs w:val="0"/>
          <w:color w:val="auto"/>
          <w:lang w:eastAsia="zh-CN"/>
        </w:rPr>
        <w:t>电子版证书文件名：器具名称</w:t>
      </w:r>
      <w:r>
        <w:rPr>
          <w:rFonts w:hint="eastAsia" w:ascii="宋体" w:hAnsi="宋体" w:eastAsia="宋体" w:cs="宋体"/>
          <w:b w:val="0"/>
          <w:bCs w:val="0"/>
          <w:color w:val="auto"/>
          <w:lang w:val="en-US" w:eastAsia="zh-CN"/>
        </w:rPr>
        <w:t>+器具编号+使用科室。</w:t>
      </w:r>
    </w:p>
    <w:p w14:paraId="30795E8E">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（4）在规定时间内完成检测/校准服务，并经采购单位确认。</w:t>
      </w:r>
    </w:p>
    <w:p w14:paraId="5B2D2878">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（5）</w:t>
      </w:r>
      <w:r>
        <w:rPr>
          <w:rFonts w:hint="eastAsia" w:ascii="宋体" w:hAnsi="宋体" w:eastAsia="宋体" w:cs="宋体"/>
          <w:b w:val="0"/>
          <w:bCs w:val="0"/>
          <w:color w:val="auto"/>
          <w:lang w:eastAsia="zh-CN"/>
        </w:rPr>
        <w:t>器具</w:t>
      </w:r>
      <w:r>
        <w:rPr>
          <w:rFonts w:hint="eastAsia" w:ascii="宋体" w:hAnsi="宋体" w:eastAsia="宋体" w:cs="宋体"/>
          <w:b w:val="0"/>
          <w:bCs w:val="0"/>
          <w:color w:val="auto"/>
        </w:rPr>
        <w:t>检测/校准完后运行符合要求，才作为最终验收。</w:t>
      </w:r>
    </w:p>
    <w:p w14:paraId="689DECB1">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若无法校准和校准后不符合相关要求的，</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人须及时告知招标人，由招标人确认是否出具不合格证书。若需出具不合格证书，按照合同约定的对应检测服务项目单价收费；若无需出具不合格证书，则</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人不应收取任何费用。</w:t>
      </w:r>
    </w:p>
    <w:p w14:paraId="21EEAAC7">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Style w:val="9"/>
          <w:rFonts w:hint="eastAsia" w:ascii="宋体" w:hAnsi="宋体" w:eastAsia="宋体" w:cs="宋体"/>
          <w:b w:val="0"/>
          <w:bCs w:val="0"/>
          <w:color w:val="auto"/>
        </w:rPr>
        <w:t>在检测/校准过程未按</w:t>
      </w:r>
      <w:r>
        <w:rPr>
          <w:rStyle w:val="9"/>
          <w:rFonts w:hint="eastAsia" w:ascii="宋体" w:hAnsi="宋体" w:eastAsia="宋体" w:cs="宋体"/>
          <w:b w:val="0"/>
          <w:bCs w:val="0"/>
          <w:color w:val="auto"/>
          <w:lang w:eastAsia="zh-CN"/>
        </w:rPr>
        <w:t>器具</w:t>
      </w:r>
      <w:r>
        <w:rPr>
          <w:rStyle w:val="9"/>
          <w:rFonts w:hint="eastAsia" w:ascii="宋体" w:hAnsi="宋体" w:eastAsia="宋体" w:cs="宋体"/>
          <w:b w:val="0"/>
          <w:bCs w:val="0"/>
          <w:color w:val="auto"/>
        </w:rPr>
        <w:t>校准/检测规范进行，弄虚作假，一经核实则不予支付本合同检测/校准所有费用。 </w:t>
      </w:r>
    </w:p>
    <w:p w14:paraId="78932A0C">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Style w:val="9"/>
          <w:rFonts w:hint="eastAsia" w:ascii="宋体" w:hAnsi="宋体" w:eastAsia="宋体" w:cs="宋体"/>
          <w:b w:val="0"/>
          <w:bCs w:val="0"/>
          <w:color w:val="auto"/>
        </w:rPr>
        <w:t>（五）包装及运输</w:t>
      </w:r>
    </w:p>
    <w:p w14:paraId="09FA5CA1">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人应保证被检测/校准计量器具在运输、装卸过程中完好无损，并有减振、防冲击的措施，若包装无法防止运输、装卸过程中垂直、水平加速度引起的丢失及损坏，由</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人负责承担全部赔偿责任。运输、装卸应按需要分别采取防潮、防霉、防锈、防腐蚀等保护措施，以保证在没有任何损坏和腐蚀的情况下安全运抵合同交货地点。</w:t>
      </w:r>
    </w:p>
    <w:p w14:paraId="30051C96">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Style w:val="9"/>
          <w:rFonts w:hint="eastAsia" w:ascii="宋体" w:hAnsi="宋体" w:eastAsia="宋体" w:cs="宋体"/>
          <w:b w:val="0"/>
          <w:bCs w:val="0"/>
          <w:color w:val="auto"/>
        </w:rPr>
        <w:t>（六）违约责任</w:t>
      </w:r>
    </w:p>
    <w:p w14:paraId="5A1B188D">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1、若</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人提供的服务成果质量不合要求，</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人应自行采取有效措施，积极、主动地弥补过失，保证成果质量能够达到合同要求，需要返工的，费用由</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人承担。若经两次返工后仍不符合合同要求的，招标人有权要求</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人支付此计量器具服务单价合计数的50%作为违约金，且有权解除合同。如因服务成果质量原因造成招标人发生经济或名誉损失的，</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人须赔偿招标人的全部损失。若</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人未按本合同约定提供服务的，经招标人提出后拒不改正，招标人有权解除本合同并要求</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人赔偿由此给招标人造成的损失。</w:t>
      </w:r>
    </w:p>
    <w:p w14:paraId="3DBCD89D">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2、</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人应保证提供真实可靠的服务成果，若</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人伪造服务成果的，每发生一次，招标人有权要求</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人支付计量器具服务单价合计数的50%作为违约金，若</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人再次伪造服务成果，则招标人除有权要求</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人按前述约定支付违约金外，还有权解除合同并要求</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人赔偿损失。</w:t>
      </w:r>
    </w:p>
    <w:p w14:paraId="5A6B3919">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3、针对上述条款仅约定违约金的情形，若违约金金额不足以弥补招标人所遭受的损失，招标人还有权要求</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人赔偿损失。</w:t>
      </w:r>
    </w:p>
    <w:p w14:paraId="25A69177">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Style w:val="9"/>
          <w:rFonts w:hint="eastAsia" w:ascii="宋体" w:hAnsi="宋体" w:eastAsia="宋体" w:cs="宋体"/>
          <w:b w:val="0"/>
          <w:bCs w:val="0"/>
          <w:color w:val="auto"/>
        </w:rPr>
        <w:t>（七）保密</w:t>
      </w:r>
    </w:p>
    <w:p w14:paraId="69B786B9">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1、未经招标人事先书面同意，</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人不得单独向任何第三方（包括但不限于各类媒体）提供有关招标人的各项业务信息（包括</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人与招标人有关的各项业务信息）。</w:t>
      </w:r>
    </w:p>
    <w:p w14:paraId="7E89BD2F">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2、</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人及其参与本合同项下工作的有关人员应对在合同执行过程中了解到的招标人商业秘密、招标人提供的文件资料以及其他尚未公开的有关信息承担保密义务，并采取相应的保密措施。</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人应承担的保密义务包括但不限于：</w:t>
      </w:r>
    </w:p>
    <w:p w14:paraId="5748E875">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（1）未经招标人事先书面同意，不得将上述商业秘密、文件资料和信息披露给任何第三方；</w:t>
      </w:r>
    </w:p>
    <w:p w14:paraId="6D895637">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（2）不得将上述商业秘密、文件资料和信息用于本合同以外的其他目的；</w:t>
      </w:r>
    </w:p>
    <w:p w14:paraId="263041F2">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（3）在本项目通过招标人验收后或招标人要求时，及时将上述文件资料和信息返还招标人，或按招标人要求作适当处理。</w:t>
      </w:r>
    </w:p>
    <w:p w14:paraId="0B663F42">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3、上述保密义务的期限至招标人将所提供的文件资料或信息正式向社会公开之日、或保密信息已成为公开、或招标人书面解除</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人此合同项下保密义务之日止。</w:t>
      </w:r>
    </w:p>
    <w:p w14:paraId="14936A3A">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4、若</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人违反上述保密义务的，招标人有权视情节轻重要求</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人支付2000－10000元/次的违约金，对于招标人确定的违约金金额</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人无异议。同时招标人还有权要求</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人赔偿招标人遭受的全部损失（经济、名誉等）并承担相应的法律责任。</w:t>
      </w:r>
    </w:p>
    <w:p w14:paraId="43EC6767">
      <w:pPr>
        <w:pStyle w:val="6"/>
        <w:keepNext w:val="0"/>
        <w:keepLines w:val="0"/>
        <w:pageBreakBefore w:val="0"/>
        <w:widowControl/>
        <w:kinsoku/>
        <w:wordWrap/>
        <w:overflowPunct/>
        <w:topLinePunct w:val="0"/>
        <w:autoSpaceDE/>
        <w:autoSpaceDN/>
        <w:bidi w:val="0"/>
        <w:adjustRightInd/>
        <w:snapToGrid/>
        <w:spacing w:before="150" w:beforeAutospacing="0" w:line="300" w:lineRule="exact"/>
        <w:jc w:val="both"/>
        <w:rPr>
          <w:rFonts w:hint="eastAsia" w:ascii="宋体" w:hAnsi="宋体" w:eastAsia="宋体" w:cs="宋体"/>
          <w:b w:val="0"/>
          <w:bCs w:val="0"/>
          <w:color w:val="auto"/>
        </w:rPr>
      </w:pPr>
      <w:r>
        <w:rPr>
          <w:rStyle w:val="9"/>
          <w:rFonts w:hint="eastAsia" w:ascii="宋体" w:hAnsi="宋体" w:eastAsia="宋体" w:cs="宋体"/>
          <w:b w:val="0"/>
          <w:bCs w:val="0"/>
          <w:color w:val="auto"/>
        </w:rPr>
        <w:t>三、供应商资格要求及审查办法</w:t>
      </w:r>
    </w:p>
    <w:p w14:paraId="79C25EF4">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1、资格要求：</w:t>
      </w:r>
    </w:p>
    <w:p w14:paraId="3A82E172">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（1）供应商应是具备独立企业法人资格,有能力承接本项目的国内企业 (供应商应在响应文件中提供企业法人营业执照复印件,并加盖供应商单位公章)；</w:t>
      </w:r>
    </w:p>
    <w:p w14:paraId="493990EA">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（2）法定代表人授权书原件（若是单位负责人参加谈判的可无须提供本函），(供应商应按照附件“响应文件格式”)；</w:t>
      </w:r>
    </w:p>
    <w:p w14:paraId="4FEE0788">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（3）具备财务报告的承诺函(详见“响应文件格式”)；</w:t>
      </w:r>
    </w:p>
    <w:p w14:paraId="3E8E3827">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（4）依法缴纳税收和社会保障资金的承诺函(详见“响应文件格式”)；</w:t>
      </w:r>
    </w:p>
    <w:p w14:paraId="0C75D024">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（5）参加本项目响应前3年内在经营活动中没有重大违法记录的书面声明函(详见附件“响应文件格式”)；</w:t>
      </w:r>
    </w:p>
    <w:p w14:paraId="0A17EAF6">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（6）具备履行合同所必需的设备和专业技术能力的声明函(详见附件“响应文件格式”)；</w:t>
      </w:r>
    </w:p>
    <w:p w14:paraId="55F59FCB">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7）信用信息查询记录证明材料（根据《财政部关于在政府采购活动中查询及使用信用记录有关问题的通知》&lt;财库〔2016〕125号&gt;精神，供应商须提供在谈判公告发布后、响应截止时间前分别通过“信用中国”网站（www.creditchina.gov.cn）和中国政府采购网（www.ccgp.gov.cn）网站查询相关主体信用记录，并提供信用信息查询记录证明材料（打印件或截图），在评标时将对供应商信用记录进行甄别，打印各供应商的信用信息查询结果，与其他谈判文件一并保存，对列入失信被执行人、重大税收违法案件当事人名单、政府采购严重违法失信行为记录名单的供应商，其响应文件将被视为无效。</w:t>
      </w:r>
    </w:p>
    <w:p w14:paraId="43A0EB72">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8）供应商须具备市场监督管理局颁发的“检验检测机构资质认定证书”（CMA证书）和中国合格评定国家认可委员会颁发的“实验室认可资质证书”（CNAS证书）；供应商需提供CMA和CNAS证书复印件、检验检测机构资质认定证书的附表复印件及实验室认可资质证书的附表复印件，附表能力符合本次招标涉及到的</w:t>
      </w:r>
      <w:r>
        <w:rPr>
          <w:rFonts w:hint="eastAsia" w:ascii="宋体" w:hAnsi="宋体" w:eastAsia="宋体" w:cs="宋体"/>
          <w:b w:val="0"/>
          <w:bCs w:val="0"/>
          <w:color w:val="auto"/>
          <w:lang w:eastAsia="zh-CN"/>
        </w:rPr>
        <w:t>技术要求（说明如下）</w:t>
      </w:r>
      <w:r>
        <w:rPr>
          <w:rFonts w:hint="eastAsia" w:ascii="宋体" w:hAnsi="宋体" w:eastAsia="宋体" w:cs="宋体"/>
          <w:b w:val="0"/>
          <w:bCs w:val="0"/>
          <w:color w:val="auto"/>
        </w:rPr>
        <w:t>，并在附表中标注。</w:t>
      </w:r>
    </w:p>
    <w:p w14:paraId="132454CF">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ascii="仿宋_GB2312" w:hAnsi="仿宋_GB2312" w:eastAsia="仿宋_GB2312" w:cs="仿宋_GB2312"/>
          <w:b w:val="0"/>
          <w:bCs w:val="0"/>
          <w:color w:val="auto"/>
          <w:sz w:val="24"/>
        </w:rPr>
      </w:pPr>
      <w:r>
        <w:rPr>
          <w:rFonts w:ascii="仿宋_GB2312" w:hAnsi="仿宋_GB2312" w:eastAsia="仿宋_GB2312" w:cs="仿宋_GB2312"/>
          <w:b w:val="0"/>
          <w:bCs w:val="0"/>
          <w:color w:val="auto"/>
          <w:sz w:val="24"/>
        </w:rPr>
        <w:t>1、</w:t>
      </w:r>
      <w:r>
        <w:rPr>
          <w:rFonts w:ascii="仿宋_GB2312" w:hAnsi="仿宋_GB2312" w:eastAsia="仿宋_GB2312" w:cs="仿宋_GB2312"/>
          <w:b w:val="0"/>
          <w:bCs w:val="0"/>
          <w:color w:val="auto"/>
          <w:sz w:val="24"/>
        </w:rPr>
        <w:t>其中序号17</w:t>
      </w:r>
      <w:r>
        <w:rPr>
          <w:rFonts w:hint="eastAsia" w:ascii="仿宋_GB2312" w:hAnsi="仿宋_GB2312" w:eastAsia="仿宋_GB2312" w:cs="仿宋_GB2312"/>
          <w:b w:val="0"/>
          <w:bCs w:val="0"/>
          <w:color w:val="auto"/>
          <w:sz w:val="24"/>
          <w:lang w:val="en-US" w:eastAsia="zh-CN"/>
        </w:rPr>
        <w:t>-25、37、40-41、44项目</w:t>
      </w:r>
      <w:r>
        <w:rPr>
          <w:rFonts w:ascii="仿宋_GB2312" w:hAnsi="仿宋_GB2312" w:eastAsia="仿宋_GB2312" w:cs="仿宋_GB2312"/>
          <w:b w:val="0"/>
          <w:bCs w:val="0"/>
          <w:color w:val="auto"/>
          <w:sz w:val="24"/>
        </w:rPr>
        <w:t>须</w:t>
      </w:r>
      <w:r>
        <w:rPr>
          <w:rFonts w:hint="eastAsia" w:ascii="仿宋_GB2312" w:hAnsi="仿宋_GB2312" w:eastAsia="仿宋_GB2312" w:cs="仿宋_GB2312"/>
          <w:b w:val="0"/>
          <w:bCs w:val="0"/>
          <w:color w:val="auto"/>
          <w:sz w:val="24"/>
          <w:lang w:eastAsia="zh-CN"/>
        </w:rPr>
        <w:t>按技术要求</w:t>
      </w:r>
      <w:r>
        <w:rPr>
          <w:rFonts w:ascii="仿宋_GB2312" w:hAnsi="仿宋_GB2312" w:eastAsia="仿宋_GB2312" w:cs="仿宋_GB2312"/>
          <w:b w:val="0"/>
          <w:bCs w:val="0"/>
          <w:color w:val="auto"/>
          <w:sz w:val="24"/>
        </w:rPr>
        <w:t>提供</w:t>
      </w:r>
      <w:r>
        <w:rPr>
          <w:rFonts w:hint="eastAsia" w:ascii="仿宋_GB2312" w:hAnsi="仿宋_GB2312" w:eastAsia="仿宋_GB2312" w:cs="仿宋_GB2312"/>
          <w:b w:val="0"/>
          <w:bCs w:val="0"/>
          <w:color w:val="auto"/>
          <w:sz w:val="24"/>
          <w:lang w:eastAsia="zh-CN"/>
        </w:rPr>
        <w:t>相应的</w:t>
      </w:r>
      <w:r>
        <w:rPr>
          <w:rFonts w:ascii="仿宋_GB2312" w:hAnsi="仿宋_GB2312" w:eastAsia="仿宋_GB2312" w:cs="仿宋_GB2312"/>
          <w:b w:val="0"/>
          <w:bCs w:val="0"/>
          <w:color w:val="auto"/>
          <w:sz w:val="24"/>
        </w:rPr>
        <w:t>CNAS或CMA实验室认可证书附表</w:t>
      </w:r>
      <w:r>
        <w:rPr>
          <w:rFonts w:hint="eastAsia" w:ascii="仿宋_GB2312" w:hAnsi="仿宋_GB2312" w:eastAsia="仿宋_GB2312" w:cs="仿宋_GB2312"/>
          <w:b w:val="0"/>
          <w:bCs w:val="0"/>
          <w:color w:val="auto"/>
          <w:sz w:val="24"/>
          <w:lang w:eastAsia="zh-CN"/>
        </w:rPr>
        <w:t>，</w:t>
      </w:r>
      <w:r>
        <w:rPr>
          <w:rFonts w:ascii="仿宋_GB2312" w:hAnsi="仿宋_GB2312" w:eastAsia="仿宋_GB2312" w:cs="仿宋_GB2312"/>
          <w:b w:val="0"/>
          <w:bCs w:val="0"/>
          <w:color w:val="auto"/>
          <w:sz w:val="24"/>
        </w:rPr>
        <w:t>证明上述序号的</w:t>
      </w:r>
      <w:r>
        <w:rPr>
          <w:rFonts w:hint="eastAsia" w:ascii="仿宋_GB2312" w:hAnsi="仿宋_GB2312" w:eastAsia="仿宋_GB2312" w:cs="仿宋_GB2312"/>
          <w:b w:val="0"/>
          <w:bCs w:val="0"/>
          <w:color w:val="auto"/>
          <w:sz w:val="24"/>
          <w:lang w:eastAsia="zh-CN"/>
        </w:rPr>
        <w:t>器具</w:t>
      </w:r>
      <w:r>
        <w:rPr>
          <w:rFonts w:ascii="仿宋_GB2312" w:hAnsi="仿宋_GB2312" w:eastAsia="仿宋_GB2312" w:cs="仿宋_GB2312"/>
          <w:b w:val="0"/>
          <w:bCs w:val="0"/>
          <w:color w:val="auto"/>
          <w:sz w:val="24"/>
        </w:rPr>
        <w:t>在投标人认证证书的附表清单内</w:t>
      </w:r>
      <w:r>
        <w:rPr>
          <w:rFonts w:hint="eastAsia" w:ascii="仿宋_GB2312" w:hAnsi="仿宋_GB2312" w:eastAsia="仿宋_GB2312" w:cs="仿宋_GB2312"/>
          <w:b w:val="0"/>
          <w:bCs w:val="0"/>
          <w:color w:val="auto"/>
          <w:sz w:val="24"/>
          <w:lang w:eastAsia="zh-CN"/>
        </w:rPr>
        <w:t>（如能力认可为更新时间发布的国家标准、检定规程、技术规范、校准规范、校准方法等，可认为符合技术要求）</w:t>
      </w:r>
      <w:r>
        <w:rPr>
          <w:rFonts w:ascii="仿宋_GB2312" w:hAnsi="仿宋_GB2312" w:eastAsia="仿宋_GB2312" w:cs="仿宋_GB2312"/>
          <w:b w:val="0"/>
          <w:bCs w:val="0"/>
          <w:color w:val="auto"/>
          <w:sz w:val="24"/>
        </w:rPr>
        <w:t>；</w:t>
      </w:r>
      <w:r>
        <w:rPr>
          <w:rFonts w:hint="eastAsia" w:ascii="宋体" w:hAnsi="宋体" w:eastAsia="宋体" w:cs="宋体"/>
          <w:b w:val="0"/>
          <w:bCs w:val="0"/>
          <w:color w:val="auto"/>
          <w:lang w:val="en-US" w:eastAsia="zh-CN"/>
        </w:rPr>
        <w:t>投标人应</w:t>
      </w:r>
      <w:r>
        <w:rPr>
          <w:rStyle w:val="9"/>
          <w:rFonts w:hint="eastAsia" w:ascii="宋体" w:hAnsi="宋体" w:eastAsia="宋体" w:cs="宋体"/>
          <w:b w:val="0"/>
          <w:bCs w:val="0"/>
          <w:color w:val="auto"/>
        </w:rPr>
        <w:t>逐项注明</w:t>
      </w:r>
      <w:r>
        <w:rPr>
          <w:rFonts w:hint="eastAsia" w:ascii="宋体" w:hAnsi="宋体" w:eastAsia="宋体" w:cs="宋体"/>
          <w:b w:val="0"/>
          <w:bCs w:val="0"/>
          <w:color w:val="auto"/>
        </w:rPr>
        <w:t>能力证明文件所在</w:t>
      </w:r>
      <w:r>
        <w:rPr>
          <w:rFonts w:hint="eastAsia" w:ascii="宋体" w:hAnsi="宋体" w:eastAsia="宋体" w:cs="宋体"/>
          <w:b w:val="0"/>
          <w:bCs w:val="0"/>
          <w:color w:val="auto"/>
          <w:lang w:eastAsia="zh-CN"/>
        </w:rPr>
        <w:t>标书</w:t>
      </w:r>
      <w:r>
        <w:rPr>
          <w:rFonts w:hint="eastAsia" w:ascii="宋体" w:hAnsi="宋体" w:eastAsia="宋体" w:cs="宋体"/>
          <w:b w:val="0"/>
          <w:bCs w:val="0"/>
          <w:color w:val="auto"/>
        </w:rPr>
        <w:t>页码</w:t>
      </w:r>
      <w:r>
        <w:rPr>
          <w:rFonts w:hint="eastAsia" w:ascii="宋体" w:hAnsi="宋体" w:eastAsia="宋体" w:cs="宋体"/>
          <w:b w:val="0"/>
          <w:bCs w:val="0"/>
          <w:color w:val="auto"/>
        </w:rPr>
        <w:t>，如因页码标注原因导致评标委员会无法确认而造成的不利后果由</w:t>
      </w:r>
      <w:r>
        <w:rPr>
          <w:rFonts w:hint="eastAsia" w:ascii="宋体" w:hAnsi="宋体" w:eastAsia="宋体" w:cs="宋体"/>
          <w:b w:val="0"/>
          <w:bCs w:val="0"/>
          <w:color w:val="auto"/>
          <w:lang w:eastAsia="zh-CN"/>
        </w:rPr>
        <w:t>投标人</w:t>
      </w:r>
      <w:r>
        <w:rPr>
          <w:rFonts w:hint="eastAsia" w:ascii="宋体" w:hAnsi="宋体" w:eastAsia="宋体" w:cs="宋体"/>
          <w:b w:val="0"/>
          <w:bCs w:val="0"/>
          <w:color w:val="auto"/>
        </w:rPr>
        <w:t>承担。</w:t>
      </w:r>
    </w:p>
    <w:p w14:paraId="5F0E1550">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ascii="仿宋_GB2312" w:hAnsi="仿宋_GB2312" w:eastAsia="仿宋_GB2312" w:cs="仿宋_GB2312"/>
          <w:b w:val="0"/>
          <w:bCs w:val="0"/>
          <w:color w:val="auto"/>
          <w:sz w:val="24"/>
        </w:rPr>
        <w:t>2、</w:t>
      </w:r>
      <w:r>
        <w:rPr>
          <w:rFonts w:ascii="仿宋_GB2312" w:hAnsi="仿宋_GB2312" w:eastAsia="仿宋_GB2312" w:cs="仿宋_GB2312"/>
          <w:b w:val="0"/>
          <w:bCs w:val="0"/>
          <w:color w:val="auto"/>
          <w:sz w:val="24"/>
        </w:rPr>
        <w:t>其他序号</w:t>
      </w:r>
      <w:r>
        <w:rPr>
          <w:rFonts w:hint="eastAsia" w:ascii="仿宋_GB2312" w:hAnsi="仿宋_GB2312" w:eastAsia="仿宋_GB2312" w:cs="仿宋_GB2312"/>
          <w:b w:val="0"/>
          <w:bCs w:val="0"/>
          <w:color w:val="auto"/>
          <w:sz w:val="24"/>
          <w:lang w:eastAsia="zh-CN"/>
        </w:rPr>
        <w:t>器具技术要求</w:t>
      </w:r>
      <w:r>
        <w:rPr>
          <w:rFonts w:ascii="仿宋_GB2312" w:hAnsi="仿宋_GB2312" w:eastAsia="仿宋_GB2312" w:cs="仿宋_GB2312"/>
          <w:b w:val="0"/>
          <w:bCs w:val="0"/>
          <w:color w:val="auto"/>
          <w:sz w:val="24"/>
        </w:rPr>
        <w:t>供应商按招标文件要求进行响应即可无需提供证明材料</w:t>
      </w:r>
      <w:r>
        <w:rPr>
          <w:rFonts w:hint="eastAsia" w:ascii="仿宋_GB2312" w:hAnsi="仿宋_GB2312" w:eastAsia="仿宋_GB2312" w:cs="仿宋_GB2312"/>
          <w:b w:val="0"/>
          <w:bCs w:val="0"/>
          <w:color w:val="auto"/>
          <w:sz w:val="24"/>
          <w:lang w:eastAsia="zh-CN"/>
        </w:rPr>
        <w:t>。</w:t>
      </w:r>
    </w:p>
    <w:p w14:paraId="57A87F38">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9）本项目专门面向符合财政部、工信部文件（财库〔2020〕46号）规定的中、小、微企业。供应商须提供《中小企业声明函》。本项目合同包1为服务类采购包，采购标的所属行业为“其他未列明行业”，供应商应按照响应文件格式规定提供。</w:t>
      </w:r>
    </w:p>
    <w:p w14:paraId="3B09537C">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w:t>
      </w:r>
      <w:r>
        <w:rPr>
          <w:rFonts w:hint="eastAsia" w:ascii="宋体" w:hAnsi="宋体" w:eastAsia="宋体" w:cs="宋体"/>
          <w:b w:val="0"/>
          <w:bCs w:val="0"/>
          <w:color w:val="auto"/>
        </w:rPr>
        <w:t>（10）本招标项目不接受联合体谈判，不允许分包。</w:t>
      </w:r>
    </w:p>
    <w:p w14:paraId="59B05A6D">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Style w:val="9"/>
          <w:rFonts w:hint="eastAsia" w:ascii="宋体" w:hAnsi="宋体" w:eastAsia="宋体" w:cs="宋体"/>
          <w:b w:val="0"/>
          <w:bCs w:val="0"/>
          <w:color w:val="auto"/>
        </w:rPr>
        <w:t>注：供应商必须同时满足以上所有的资格要求并提供证明材料，所有提供的相关资质证明文件应属法定有效期内的，若发生变更的，应按有关规定办理完变更手续后方可参加谈判，并以发证机关核准的变更为准，否则其响应文件无效。涉及提交复印件的，供应商须提交以上文件或证明材料复印件，所有复印件应是最新（有效期内）、清晰，并加盖供应商单位公章，否则其响应文件无效。</w:t>
      </w:r>
    </w:p>
    <w:p w14:paraId="59B69FC3">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供应商应对响应文件资料的真实性负责，招标人在授予合同之前有权对其响应文件资料进行核实，如发现所提交的资料不真实，招标人将视其为以弄虚作假方式骗取中标，其</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无效，若给招标人造成损失的，应依法承担赔偿责任。</w:t>
      </w:r>
    </w:p>
    <w:p w14:paraId="57F1ECA0">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2、资格审查采用方式：开标后即开始评标。</w:t>
      </w:r>
    </w:p>
    <w:p w14:paraId="2658AC99">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3、供应商应对响应文件资料的真实性负责，招标人在授予合同之前有权对其响应文件资料进行核实，如发现所提交的资料不真实，招标人将视其为以弄虚作假方式骗取</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，其</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无效，若给招标人造成损失的，应依法承担赔偿责任。</w:t>
      </w:r>
    </w:p>
    <w:p w14:paraId="3DAC5031">
      <w:pPr>
        <w:pStyle w:val="6"/>
        <w:keepNext w:val="0"/>
        <w:keepLines w:val="0"/>
        <w:pageBreakBefore w:val="0"/>
        <w:widowControl/>
        <w:kinsoku/>
        <w:wordWrap/>
        <w:overflowPunct/>
        <w:topLinePunct w:val="0"/>
        <w:autoSpaceDE/>
        <w:autoSpaceDN/>
        <w:bidi w:val="0"/>
        <w:adjustRightInd/>
        <w:snapToGrid/>
        <w:spacing w:before="150" w:beforeAutospacing="0" w:line="300" w:lineRule="exact"/>
        <w:jc w:val="both"/>
        <w:rPr>
          <w:rFonts w:hint="eastAsia" w:ascii="宋体" w:hAnsi="宋体" w:eastAsia="宋体" w:cs="宋体"/>
          <w:b w:val="0"/>
          <w:bCs w:val="0"/>
          <w:color w:val="auto"/>
        </w:rPr>
      </w:pPr>
      <w:r>
        <w:rPr>
          <w:rStyle w:val="9"/>
          <w:rFonts w:hint="eastAsia" w:ascii="宋体" w:hAnsi="宋体" w:eastAsia="宋体" w:cs="宋体"/>
          <w:b w:val="0"/>
          <w:bCs w:val="0"/>
          <w:color w:val="auto"/>
        </w:rPr>
        <w:t>十、付款方式与条件</w:t>
      </w:r>
    </w:p>
    <w:p w14:paraId="43886078">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1）付款方式：2024年11月，招标人收回被检器具、收到检测/校准证书及发票后，中标人根据实际发生的费用金额向招标人开具发票，招标人通过银行转账方式支付实际发生的费用。2025年度项目如非同一中标人，则合同到期后结算2025年实际发生费用。</w:t>
      </w:r>
    </w:p>
    <w:p w14:paraId="3D32FE3F">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（2）付款时间：以上付款均由</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人提出付款申请，招标人收到检测/校准证书及发票后，向</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供应商支付。</w:t>
      </w:r>
    </w:p>
    <w:p w14:paraId="3CA7D200">
      <w:pPr>
        <w:pStyle w:val="6"/>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宋体" w:hAnsi="宋体" w:eastAsia="宋体" w:cs="宋体"/>
          <w:b w:val="0"/>
          <w:bCs w:val="0"/>
          <w:color w:val="auto"/>
        </w:rPr>
      </w:pPr>
      <w:r>
        <w:rPr>
          <w:rFonts w:hint="eastAsia" w:ascii="宋体" w:hAnsi="宋体" w:eastAsia="宋体" w:cs="宋体"/>
          <w:b w:val="0"/>
          <w:bCs w:val="0"/>
          <w:color w:val="auto"/>
        </w:rPr>
        <w:t>（3）</w:t>
      </w:r>
      <w:r>
        <w:rPr>
          <w:rFonts w:hint="eastAsia" w:ascii="宋体" w:hAnsi="宋体" w:eastAsia="宋体" w:cs="宋体"/>
          <w:b w:val="0"/>
          <w:bCs w:val="0"/>
          <w:color w:val="auto"/>
          <w:lang w:eastAsia="zh-CN"/>
        </w:rPr>
        <w:t>除代送检项目外，</w:t>
      </w:r>
      <w:r>
        <w:rPr>
          <w:rStyle w:val="9"/>
          <w:rFonts w:hint="eastAsia" w:ascii="宋体" w:hAnsi="宋体" w:eastAsia="宋体" w:cs="宋体"/>
          <w:b w:val="0"/>
          <w:bCs w:val="0"/>
          <w:color w:val="auto"/>
          <w:lang w:eastAsia="zh-CN"/>
        </w:rPr>
        <w:t>中标</w:t>
      </w:r>
      <w:r>
        <w:rPr>
          <w:rStyle w:val="9"/>
          <w:rFonts w:hint="eastAsia" w:ascii="宋体" w:hAnsi="宋体" w:eastAsia="宋体" w:cs="宋体"/>
          <w:b w:val="0"/>
          <w:bCs w:val="0"/>
          <w:color w:val="auto"/>
        </w:rPr>
        <w:t>供应商、开票单位、检测单位应一致；</w:t>
      </w:r>
      <w:r>
        <w:rPr>
          <w:rFonts w:hint="eastAsia" w:ascii="宋体" w:hAnsi="宋体" w:eastAsia="宋体" w:cs="宋体"/>
          <w:b w:val="0"/>
          <w:bCs w:val="0"/>
          <w:color w:val="auto"/>
          <w:lang w:eastAsia="zh-CN"/>
        </w:rPr>
        <w:t>中标</w:t>
      </w:r>
      <w:r>
        <w:rPr>
          <w:rFonts w:hint="eastAsia" w:ascii="宋体" w:hAnsi="宋体" w:eastAsia="宋体" w:cs="宋体"/>
          <w:b w:val="0"/>
          <w:bCs w:val="0"/>
          <w:color w:val="auto"/>
        </w:rPr>
        <w:t>供应商收款账号应为</w:t>
      </w:r>
      <w:r>
        <w:rPr>
          <w:rFonts w:hint="eastAsia" w:ascii="宋体" w:hAnsi="宋体" w:eastAsia="宋体" w:cs="宋体"/>
          <w:b w:val="0"/>
          <w:bCs w:val="0"/>
          <w:color w:val="auto"/>
          <w:lang w:eastAsia="zh-CN"/>
        </w:rPr>
        <w:t>该</w:t>
      </w:r>
      <w:r>
        <w:rPr>
          <w:rFonts w:hint="eastAsia" w:ascii="宋体" w:hAnsi="宋体" w:eastAsia="宋体" w:cs="宋体"/>
          <w:b w:val="0"/>
          <w:bCs w:val="0"/>
          <w:color w:val="auto"/>
        </w:rPr>
        <w:t>单位经人民银行批准的银行基本账号。</w:t>
      </w:r>
    </w:p>
    <w:p w14:paraId="72E9E5BB">
      <w:pPr>
        <w:pStyle w:val="6"/>
        <w:keepNext w:val="0"/>
        <w:keepLines w:val="0"/>
        <w:pageBreakBefore w:val="0"/>
        <w:widowControl/>
        <w:kinsoku/>
        <w:wordWrap/>
        <w:overflowPunct/>
        <w:topLinePunct w:val="0"/>
        <w:autoSpaceDE/>
        <w:autoSpaceDN/>
        <w:bidi w:val="0"/>
        <w:adjustRightInd/>
        <w:snapToGrid/>
        <w:spacing w:before="150" w:beforeAutospacing="0" w:line="300" w:lineRule="exact"/>
        <w:jc w:val="both"/>
        <w:rPr>
          <w:b w:val="0"/>
          <w:bCs w:val="0"/>
          <w:color w:val="auto"/>
        </w:rPr>
      </w:pPr>
    </w:p>
    <w:p w14:paraId="568A3150">
      <w:pPr>
        <w:keepNext w:val="0"/>
        <w:keepLines w:val="0"/>
        <w:pageBreakBefore w:val="0"/>
        <w:kinsoku/>
        <w:wordWrap/>
        <w:overflowPunct/>
        <w:topLinePunct w:val="0"/>
        <w:autoSpaceDE/>
        <w:autoSpaceDN/>
        <w:bidi w:val="0"/>
        <w:adjustRightInd/>
        <w:snapToGrid/>
        <w:spacing w:line="300" w:lineRule="exact"/>
        <w:rPr>
          <w:b w:val="0"/>
          <w:bCs w:val="0"/>
          <w:color w:val="auto"/>
        </w:rPr>
      </w:pPr>
    </w:p>
    <w:p w14:paraId="365E827B">
      <w:pPr>
        <w:keepNext w:val="0"/>
        <w:keepLines w:val="0"/>
        <w:pageBreakBefore w:val="0"/>
        <w:kinsoku/>
        <w:wordWrap/>
        <w:overflowPunct/>
        <w:topLinePunct w:val="0"/>
        <w:autoSpaceDE/>
        <w:autoSpaceDN/>
        <w:bidi w:val="0"/>
        <w:adjustRightInd/>
        <w:snapToGrid/>
        <w:spacing w:line="300" w:lineRule="exact"/>
        <w:rPr>
          <w:b w:val="0"/>
          <w:bCs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Z">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65C46"/>
    <w:multiLevelType w:val="singleLevel"/>
    <w:tmpl w:val="C8365C46"/>
    <w:lvl w:ilvl="0" w:tentative="0">
      <w:start w:val="3"/>
      <w:numFmt w:val="chineseCounting"/>
      <w:suff w:val="nothing"/>
      <w:lvlText w:val="（%1）"/>
      <w:lvlJc w:val="left"/>
      <w:rPr>
        <w:rFonts w:hint="eastAsia"/>
      </w:rPr>
    </w:lvl>
  </w:abstractNum>
  <w:abstractNum w:abstractNumId="1">
    <w:nsid w:val="4A266953"/>
    <w:multiLevelType w:val="singleLevel"/>
    <w:tmpl w:val="4A266953"/>
    <w:lvl w:ilvl="0" w:tentative="0">
      <w:start w:val="1"/>
      <w:numFmt w:val="decimal"/>
      <w:lvlText w:val="%1."/>
      <w:lvlJc w:val="left"/>
      <w:pPr>
        <w:tabs>
          <w:tab w:val="left" w:pos="312"/>
        </w:tabs>
      </w:pPr>
    </w:lvl>
  </w:abstractNum>
  <w:abstractNum w:abstractNumId="2">
    <w:nsid w:val="590C8B95"/>
    <w:multiLevelType w:val="multilevel"/>
    <w:tmpl w:val="590C8B95"/>
    <w:lvl w:ilvl="0" w:tentative="0">
      <w:start w:val="1"/>
      <w:numFmt w:val="decimal"/>
      <w:pStyle w:val="2"/>
      <w:lvlText w:val="%1."/>
      <w:lvlJc w:val="left"/>
      <w:pPr>
        <w:ind w:left="432" w:hanging="432"/>
      </w:pPr>
      <w:rPr>
        <w:rFonts w:hint="default"/>
      </w:rPr>
    </w:lvl>
    <w:lvl w:ilvl="1" w:tentative="0">
      <w:start w:val="1"/>
      <w:numFmt w:val="decimal"/>
      <w:isLgl/>
      <w:lvlText w:val="%1.%2."/>
      <w:lvlJc w:val="left"/>
      <w:pPr>
        <w:ind w:left="575" w:hanging="575"/>
      </w:pPr>
      <w:rPr>
        <w:rFonts w:hint="default" w:ascii="宋体" w:hAnsi="宋体" w:eastAsia="宋体" w:cs="宋体"/>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MjFhYTFmMGM5NGFlMGY5ZWQwYTYwNjgxZWFhYjUifQ=="/>
  </w:docVars>
  <w:rsids>
    <w:rsidRoot w:val="000938C1"/>
    <w:rsid w:val="000938C1"/>
    <w:rsid w:val="005E2C34"/>
    <w:rsid w:val="007373FE"/>
    <w:rsid w:val="009E433A"/>
    <w:rsid w:val="02DB4285"/>
    <w:rsid w:val="03103FD4"/>
    <w:rsid w:val="03A52497"/>
    <w:rsid w:val="03B31C99"/>
    <w:rsid w:val="03E55313"/>
    <w:rsid w:val="04880676"/>
    <w:rsid w:val="068448A1"/>
    <w:rsid w:val="07463591"/>
    <w:rsid w:val="074955EE"/>
    <w:rsid w:val="07C25034"/>
    <w:rsid w:val="08D5456F"/>
    <w:rsid w:val="0AC31A0D"/>
    <w:rsid w:val="0B887E45"/>
    <w:rsid w:val="0BE64958"/>
    <w:rsid w:val="0CC17FCE"/>
    <w:rsid w:val="0CCC5321"/>
    <w:rsid w:val="0D2126B6"/>
    <w:rsid w:val="0DBE2374"/>
    <w:rsid w:val="0E11421E"/>
    <w:rsid w:val="0EAE4914"/>
    <w:rsid w:val="0F8B4CE8"/>
    <w:rsid w:val="10991687"/>
    <w:rsid w:val="10A06571"/>
    <w:rsid w:val="11790C43"/>
    <w:rsid w:val="13D11CFC"/>
    <w:rsid w:val="14E8576F"/>
    <w:rsid w:val="1624303B"/>
    <w:rsid w:val="16C77949"/>
    <w:rsid w:val="172779EC"/>
    <w:rsid w:val="1773182B"/>
    <w:rsid w:val="1ABC669E"/>
    <w:rsid w:val="1ADD69AB"/>
    <w:rsid w:val="1B560B40"/>
    <w:rsid w:val="1BAA5BE3"/>
    <w:rsid w:val="1C2D5EB5"/>
    <w:rsid w:val="1DAA4ED3"/>
    <w:rsid w:val="1E1367ED"/>
    <w:rsid w:val="1F561A8C"/>
    <w:rsid w:val="23275E4E"/>
    <w:rsid w:val="24A96B9B"/>
    <w:rsid w:val="24CB670C"/>
    <w:rsid w:val="250E603C"/>
    <w:rsid w:val="26C17EEE"/>
    <w:rsid w:val="26CF7759"/>
    <w:rsid w:val="26FB2655"/>
    <w:rsid w:val="27D73FFA"/>
    <w:rsid w:val="284A364B"/>
    <w:rsid w:val="290941BD"/>
    <w:rsid w:val="2AE16B61"/>
    <w:rsid w:val="2B5D717A"/>
    <w:rsid w:val="2C303FA2"/>
    <w:rsid w:val="2C536608"/>
    <w:rsid w:val="2CE14B5B"/>
    <w:rsid w:val="2D5E1ABB"/>
    <w:rsid w:val="2EBE432D"/>
    <w:rsid w:val="2EF71375"/>
    <w:rsid w:val="2F6040EC"/>
    <w:rsid w:val="2FD92DEC"/>
    <w:rsid w:val="323963CE"/>
    <w:rsid w:val="359207AA"/>
    <w:rsid w:val="3841678E"/>
    <w:rsid w:val="39252CE0"/>
    <w:rsid w:val="3ABE2A3E"/>
    <w:rsid w:val="3C9708C1"/>
    <w:rsid w:val="3DA05553"/>
    <w:rsid w:val="3E8F29A0"/>
    <w:rsid w:val="3F46639E"/>
    <w:rsid w:val="3F960CFC"/>
    <w:rsid w:val="407F7C8C"/>
    <w:rsid w:val="409417C5"/>
    <w:rsid w:val="424830B9"/>
    <w:rsid w:val="4343542D"/>
    <w:rsid w:val="43A42E81"/>
    <w:rsid w:val="43CA3B70"/>
    <w:rsid w:val="43E412B9"/>
    <w:rsid w:val="44877480"/>
    <w:rsid w:val="45161848"/>
    <w:rsid w:val="456E7CE8"/>
    <w:rsid w:val="463C0E82"/>
    <w:rsid w:val="46800865"/>
    <w:rsid w:val="46BD0F75"/>
    <w:rsid w:val="477A06A5"/>
    <w:rsid w:val="48FA2C76"/>
    <w:rsid w:val="49430121"/>
    <w:rsid w:val="496A3433"/>
    <w:rsid w:val="4AFF3F21"/>
    <w:rsid w:val="4B547681"/>
    <w:rsid w:val="4BA42992"/>
    <w:rsid w:val="4D4D338A"/>
    <w:rsid w:val="4F2D5B30"/>
    <w:rsid w:val="4F361873"/>
    <w:rsid w:val="4F6F1374"/>
    <w:rsid w:val="50782C9A"/>
    <w:rsid w:val="50F76338"/>
    <w:rsid w:val="52F42171"/>
    <w:rsid w:val="53B21662"/>
    <w:rsid w:val="54291AD9"/>
    <w:rsid w:val="557404CF"/>
    <w:rsid w:val="55860901"/>
    <w:rsid w:val="561777E0"/>
    <w:rsid w:val="562E5CBB"/>
    <w:rsid w:val="57546DC1"/>
    <w:rsid w:val="57557C86"/>
    <w:rsid w:val="59800F81"/>
    <w:rsid w:val="5A376396"/>
    <w:rsid w:val="5A4B3D7D"/>
    <w:rsid w:val="5B3859FD"/>
    <w:rsid w:val="5BD035FA"/>
    <w:rsid w:val="5C734A4A"/>
    <w:rsid w:val="5D077133"/>
    <w:rsid w:val="5D600CF1"/>
    <w:rsid w:val="5F3F18F1"/>
    <w:rsid w:val="5F812FF5"/>
    <w:rsid w:val="60430294"/>
    <w:rsid w:val="61C97FDE"/>
    <w:rsid w:val="63D961C6"/>
    <w:rsid w:val="641E13AF"/>
    <w:rsid w:val="65B66714"/>
    <w:rsid w:val="65D639F8"/>
    <w:rsid w:val="668669FE"/>
    <w:rsid w:val="68335D91"/>
    <w:rsid w:val="68441834"/>
    <w:rsid w:val="6A4E73DC"/>
    <w:rsid w:val="6A75622E"/>
    <w:rsid w:val="6B3E3B32"/>
    <w:rsid w:val="6B6C53C5"/>
    <w:rsid w:val="6B85151E"/>
    <w:rsid w:val="6BDA3F4C"/>
    <w:rsid w:val="6CBF3336"/>
    <w:rsid w:val="6D4006A6"/>
    <w:rsid w:val="6E6C7A3C"/>
    <w:rsid w:val="6E6D028F"/>
    <w:rsid w:val="6F6C6B7A"/>
    <w:rsid w:val="70110FAB"/>
    <w:rsid w:val="702209B5"/>
    <w:rsid w:val="7076386F"/>
    <w:rsid w:val="70E43507"/>
    <w:rsid w:val="712C13F6"/>
    <w:rsid w:val="7271151B"/>
    <w:rsid w:val="733D1339"/>
    <w:rsid w:val="73D62E9C"/>
    <w:rsid w:val="74DD1939"/>
    <w:rsid w:val="750F6031"/>
    <w:rsid w:val="751653F3"/>
    <w:rsid w:val="763050B8"/>
    <w:rsid w:val="767A7850"/>
    <w:rsid w:val="76BB5D67"/>
    <w:rsid w:val="7B780418"/>
    <w:rsid w:val="7C8D5A55"/>
    <w:rsid w:val="7DAD708D"/>
    <w:rsid w:val="7F08297D"/>
    <w:rsid w:val="7F25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Lines="0" w:beforeAutospacing="0" w:afterLines="0" w:afterAutospacing="0" w:line="360" w:lineRule="auto"/>
      <w:ind w:left="432" w:hanging="432"/>
      <w:outlineLvl w:val="0"/>
    </w:pPr>
    <w:rPr>
      <w:rFonts w:ascii="Times New Roman" w:hAnsi="Times New Roman" w:eastAsia="微软雅黑"/>
      <w:b/>
      <w:kern w:val="44"/>
      <w:sz w:val="30"/>
    </w:rPr>
  </w:style>
  <w:style w:type="paragraph" w:styleId="3">
    <w:name w:val="heading 2"/>
    <w:basedOn w:val="1"/>
    <w:next w:val="1"/>
    <w:link w:val="12"/>
    <w:autoRedefine/>
    <w:semiHidden/>
    <w:unhideWhenUsed/>
    <w:qFormat/>
    <w:uiPriority w:val="0"/>
    <w:pPr>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0"/>
    <w:pPr>
      <w:spacing w:before="100" w:beforeAutospacing="1" w:after="100" w:afterAutospacing="1"/>
      <w:jc w:val="left"/>
    </w:pPr>
    <w:rPr>
      <w:rFonts w:cs="Times New Roman"/>
      <w:kern w:val="0"/>
      <w:sz w:val="24"/>
    </w:rPr>
  </w:style>
  <w:style w:type="character" w:styleId="9">
    <w:name w:val="Strong"/>
    <w:basedOn w:val="8"/>
    <w:autoRedefine/>
    <w:qFormat/>
    <w:uiPriority w:val="0"/>
    <w:rPr>
      <w:b/>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semiHidden/>
    <w:qFormat/>
    <w:uiPriority w:val="99"/>
    <w:rPr>
      <w:sz w:val="18"/>
      <w:szCs w:val="18"/>
    </w:rPr>
  </w:style>
  <w:style w:type="character" w:customStyle="1" w:styleId="12">
    <w:name w:val="标题 2 Char"/>
    <w:basedOn w:val="8"/>
    <w:link w:val="3"/>
    <w:autoRedefine/>
    <w:semiHidden/>
    <w:qFormat/>
    <w:uiPriority w:val="0"/>
    <w:rPr>
      <w:rFonts w:ascii="宋体" w:hAnsi="宋体" w:eastAsia="宋体" w:cs="宋体"/>
      <w:b/>
      <w:bCs/>
      <w:kern w:val="0"/>
      <w:sz w:val="36"/>
      <w:szCs w:val="36"/>
    </w:rPr>
  </w:style>
  <w:style w:type="character" w:customStyle="1" w:styleId="13">
    <w:name w:val="font11"/>
    <w:basedOn w:val="8"/>
    <w:autoRedefine/>
    <w:qFormat/>
    <w:uiPriority w:val="0"/>
    <w:rPr>
      <w:rFonts w:hint="eastAsia" w:ascii="宋体" w:hAnsi="宋体" w:eastAsia="宋体" w:cs="宋体"/>
      <w:color w:val="000000"/>
      <w:sz w:val="25"/>
      <w:szCs w:val="25"/>
      <w:u w:val="none"/>
    </w:rPr>
  </w:style>
  <w:style w:type="character" w:customStyle="1" w:styleId="14">
    <w:name w:val="font51"/>
    <w:basedOn w:val="8"/>
    <w:autoRedefine/>
    <w:qFormat/>
    <w:uiPriority w:val="0"/>
    <w:rPr>
      <w:rFonts w:hint="eastAsia" w:ascii="宋体" w:hAnsi="宋体" w:eastAsia="宋体" w:cs="宋体"/>
      <w:color w:val="FF0000"/>
      <w:sz w:val="25"/>
      <w:szCs w:val="25"/>
      <w:u w:val="none"/>
    </w:rPr>
  </w:style>
  <w:style w:type="character" w:customStyle="1" w:styleId="15">
    <w:name w:val="font71"/>
    <w:basedOn w:val="8"/>
    <w:autoRedefine/>
    <w:qFormat/>
    <w:uiPriority w:val="0"/>
    <w:rPr>
      <w:rFonts w:hint="eastAsia" w:ascii="宋体" w:hAnsi="宋体" w:eastAsia="宋体" w:cs="宋体"/>
      <w:b/>
      <w:bCs/>
      <w:color w:val="000000"/>
      <w:sz w:val="22"/>
      <w:szCs w:val="22"/>
      <w:u w:val="none"/>
      <w:vertAlign w:val="superscript"/>
    </w:rPr>
  </w:style>
  <w:style w:type="character" w:customStyle="1" w:styleId="16">
    <w:name w:val="font41"/>
    <w:basedOn w:val="8"/>
    <w:autoRedefine/>
    <w:qFormat/>
    <w:uiPriority w:val="0"/>
    <w:rPr>
      <w:rFonts w:hint="eastAsia" w:ascii="宋体" w:hAnsi="宋体" w:eastAsia="宋体" w:cs="宋体"/>
      <w:b/>
      <w:bCs/>
      <w:color w:val="000000"/>
      <w:sz w:val="22"/>
      <w:szCs w:val="22"/>
      <w:u w:val="none"/>
      <w:vertAlign w:val="subscript"/>
    </w:rPr>
  </w:style>
  <w:style w:type="character" w:customStyle="1" w:styleId="17">
    <w:name w:val="font61"/>
    <w:basedOn w:val="8"/>
    <w:qFormat/>
    <w:uiPriority w:val="0"/>
    <w:rPr>
      <w:rFonts w:hint="eastAsia" w:ascii="宋体" w:hAnsi="宋体" w:eastAsia="宋体" w:cs="宋体"/>
      <w:b/>
      <w:bCs/>
      <w:color w:val="000000"/>
      <w:sz w:val="28"/>
      <w:szCs w:val="28"/>
      <w:u w:val="none"/>
      <w:vertAlign w:val="subscript"/>
    </w:rPr>
  </w:style>
  <w:style w:type="character" w:customStyle="1" w:styleId="18">
    <w:name w:val="font101"/>
    <w:basedOn w:val="8"/>
    <w:qFormat/>
    <w:uiPriority w:val="0"/>
    <w:rPr>
      <w:rFonts w:hint="eastAsia" w:ascii="宋体" w:hAnsi="宋体" w:eastAsia="宋体" w:cs="宋体"/>
      <w:b/>
      <w:bCs/>
      <w:color w:val="000000"/>
      <w:sz w:val="28"/>
      <w:szCs w:val="28"/>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6459</Words>
  <Characters>6940</Characters>
  <Lines>64</Lines>
  <Paragraphs>18</Paragraphs>
  <TotalTime>14</TotalTime>
  <ScaleCrop>false</ScaleCrop>
  <LinksUpToDate>false</LinksUpToDate>
  <CharactersWithSpaces>6965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2023-05-05T02:33:00Z</dcterms:created>
  <dc:creator>lenovo</dc:creator>
  <cp:lastModifiedBy>哎呦喂</cp:lastModifiedBy>
  <cp:lastPrinted>2024-07-01T07:40:00Z</cp:lastPrinted>
  <dcterms:modified xsi:type="dcterms:W3CDTF">2025-10-13T02:24:17Z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B6014F3CC06746C7922F535C16D183D4_13</vt:lpwstr>
  </property>
  <property fmtid="{D5CDD505-2E9C-101B-9397-08002B2CF9AE}" pid="4" name="KSOTemplateDocerSaveRecord">
    <vt:lpwstr>eyJoZGlkIjoiMDU5MWIyYTdlNzAyMWRmMTFjNzIyNzZjYTBiZTE1ZDciLCJ1c2VySWQiOiIzNzAwNTYwNTAifQ==</vt:lpwstr>
  </property>
</Properties>
</file>