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bookmarkStart w:id="2" w:name="_GoBack"/>
      <w:bookmarkEnd w:id="2"/>
      <w:r>
        <w:rPr>
          <w:rFonts w:hint="eastAsia"/>
          <w:b/>
          <w:bCs/>
          <w:sz w:val="28"/>
          <w:szCs w:val="28"/>
          <w:lang w:val="en-US" w:eastAsia="zh-CN"/>
        </w:rPr>
        <w:t>服务器、存储维保运维服务</w:t>
      </w:r>
    </w:p>
    <w:p>
      <w:pPr>
        <w:pStyle w:val="4"/>
        <w:spacing w:before="0" w:beforeAutospacing="0" w:after="0" w:afterAutospacing="0" w:line="360" w:lineRule="auto"/>
        <w:jc w:val="both"/>
        <w:rPr>
          <w:rFonts w:hint="eastAsia"/>
          <w:b/>
          <w:bCs/>
          <w:color w:val="000000"/>
          <w:sz w:val="32"/>
          <w:szCs w:val="32"/>
          <w:shd w:val="clear" w:color="auto" w:fill="FFFFFF"/>
        </w:rPr>
      </w:pPr>
      <w:r>
        <w:rPr>
          <w:rFonts w:hint="eastAsia"/>
          <w:b/>
          <w:bCs/>
          <w:color w:val="000000"/>
          <w:sz w:val="32"/>
          <w:szCs w:val="32"/>
          <w:shd w:val="clear" w:color="auto" w:fill="FFFFFF"/>
        </w:rPr>
        <w:t>服务要求：</w:t>
      </w:r>
    </w:p>
    <w:p>
      <w:pPr>
        <w:pStyle w:val="4"/>
        <w:spacing w:before="0" w:beforeAutospacing="0" w:after="0" w:afterAutospacing="0" w:line="360" w:lineRule="auto"/>
        <w:jc w:val="both"/>
        <w:rPr>
          <w:rFonts w:hint="eastAsia" w:ascii="微软雅黑" w:hAnsi="微软雅黑" w:eastAsia="微软雅黑" w:cs="微软雅黑"/>
          <w:color w:val="000000"/>
          <w:sz w:val="27"/>
          <w:szCs w:val="27"/>
        </w:rPr>
      </w:pPr>
      <w:r>
        <w:rPr>
          <w:rFonts w:hint="eastAsia"/>
          <w:b/>
          <w:bCs/>
          <w:color w:val="000000"/>
          <w:sz w:val="32"/>
          <w:szCs w:val="32"/>
          <w:shd w:val="clear" w:color="auto" w:fill="FFFFFF"/>
        </w:rPr>
        <w:t>一、</w:t>
      </w:r>
      <w:r>
        <w:rPr>
          <w:rStyle w:val="6"/>
          <w:rFonts w:hint="eastAsia"/>
          <w:color w:val="000000"/>
          <w:shd w:val="clear" w:color="auto" w:fill="FFFFFF"/>
        </w:rPr>
        <w:t>服务期限：</w:t>
      </w:r>
      <w:r>
        <w:rPr>
          <w:rFonts w:hint="eastAsia"/>
          <w:color w:val="000000"/>
          <w:shd w:val="clear" w:color="auto" w:fill="FFFFFF"/>
        </w:rPr>
        <w:t>一年。</w:t>
      </w:r>
    </w:p>
    <w:p>
      <w:pPr>
        <w:pStyle w:val="4"/>
        <w:spacing w:before="0" w:beforeAutospacing="0" w:after="0" w:afterAutospacing="0" w:line="360" w:lineRule="auto"/>
        <w:rPr>
          <w:rStyle w:val="6"/>
          <w:rFonts w:hint="eastAsia"/>
          <w:color w:val="000000"/>
          <w:shd w:val="clear" w:color="auto" w:fill="FFFFFF"/>
        </w:rPr>
      </w:pPr>
      <w:r>
        <w:rPr>
          <w:rStyle w:val="6"/>
          <w:rFonts w:hint="eastAsia"/>
          <w:color w:val="000000"/>
          <w:shd w:val="clear" w:color="auto" w:fill="FFFFFF"/>
        </w:rPr>
        <w:t>二、服务范围</w:t>
      </w:r>
    </w:p>
    <w:p>
      <w:pPr>
        <w:pStyle w:val="4"/>
        <w:spacing w:before="0" w:beforeAutospacing="0" w:after="0" w:afterAutospacing="0" w:line="360" w:lineRule="auto"/>
        <w:rPr>
          <w:rFonts w:hint="eastAsia"/>
          <w:b/>
          <w:bCs/>
        </w:rPr>
      </w:pPr>
      <w:r>
        <w:rPr>
          <w:rStyle w:val="6"/>
          <w:rFonts w:hint="eastAsia"/>
          <w:b w:val="0"/>
          <w:bCs w:val="0"/>
          <w:color w:val="000000"/>
          <w:shd w:val="clear" w:color="auto" w:fill="FFFFFF"/>
        </w:rPr>
        <w:t>2.1、</w:t>
      </w:r>
      <w:r>
        <w:rPr>
          <w:rFonts w:hint="eastAsia"/>
          <w:b/>
          <w:bCs/>
        </w:rPr>
        <w:t>服务器设备维保服务</w:t>
      </w:r>
    </w:p>
    <w:tbl>
      <w:tblPr>
        <w:tblStyle w:val="7"/>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4925"/>
        <w:gridCol w:w="1134"/>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b/>
                <w:bCs/>
                <w:kern w:val="0"/>
                <w:sz w:val="22"/>
              </w:rPr>
            </w:pPr>
            <w:r>
              <w:rPr>
                <w:rFonts w:hint="eastAsia" w:ascii="宋体" w:hAnsi="宋体" w:cs="宋体"/>
                <w:b/>
                <w:bCs/>
                <w:kern w:val="0"/>
                <w:sz w:val="22"/>
              </w:rPr>
              <w:t>序号</w:t>
            </w:r>
          </w:p>
        </w:tc>
        <w:tc>
          <w:tcPr>
            <w:tcW w:w="4925" w:type="dxa"/>
            <w:shd w:val="clear" w:color="000000" w:fill="FFFFFF"/>
            <w:vAlign w:val="center"/>
          </w:tcPr>
          <w:p>
            <w:pPr>
              <w:widowControl/>
              <w:jc w:val="center"/>
              <w:rPr>
                <w:rFonts w:hint="eastAsia" w:ascii="宋体" w:hAnsi="宋体" w:cs="宋体"/>
                <w:b/>
                <w:bCs/>
                <w:kern w:val="0"/>
                <w:sz w:val="22"/>
              </w:rPr>
            </w:pPr>
            <w:r>
              <w:rPr>
                <w:rFonts w:hint="eastAsia" w:ascii="宋体" w:hAnsi="宋体" w:cs="宋体"/>
                <w:b/>
                <w:bCs/>
                <w:kern w:val="0"/>
                <w:sz w:val="22"/>
                <w:szCs w:val="22"/>
              </w:rPr>
              <w:t>名称</w:t>
            </w:r>
          </w:p>
        </w:tc>
        <w:tc>
          <w:tcPr>
            <w:tcW w:w="1134" w:type="dxa"/>
            <w:shd w:val="clear" w:color="000000" w:fill="FFFFFF"/>
            <w:vAlign w:val="center"/>
          </w:tcPr>
          <w:p>
            <w:pPr>
              <w:widowControl/>
              <w:jc w:val="center"/>
              <w:rPr>
                <w:rFonts w:hint="eastAsia" w:ascii="宋体" w:hAnsi="宋体" w:cs="宋体"/>
                <w:b/>
                <w:bCs/>
                <w:kern w:val="0"/>
                <w:sz w:val="22"/>
              </w:rPr>
            </w:pPr>
            <w:r>
              <w:rPr>
                <w:rFonts w:hint="eastAsia" w:ascii="宋体" w:hAnsi="宋体" w:cs="宋体"/>
                <w:b/>
                <w:bCs/>
                <w:kern w:val="0"/>
                <w:sz w:val="22"/>
              </w:rPr>
              <w:t>数量</w:t>
            </w:r>
          </w:p>
        </w:tc>
        <w:tc>
          <w:tcPr>
            <w:tcW w:w="1151" w:type="dxa"/>
            <w:shd w:val="clear" w:color="000000" w:fill="FFFFFF"/>
            <w:vAlign w:val="center"/>
          </w:tcPr>
          <w:p>
            <w:pPr>
              <w:widowControl/>
              <w:jc w:val="center"/>
              <w:rPr>
                <w:rFonts w:hint="eastAsia" w:ascii="宋体" w:hAnsi="宋体" w:cs="宋体"/>
                <w:b/>
                <w:bCs/>
                <w:kern w:val="0"/>
                <w:sz w:val="22"/>
              </w:rPr>
            </w:pPr>
            <w:r>
              <w:rPr>
                <w:rFonts w:hint="eastAsia" w:ascii="宋体" w:hAnsi="宋体" w:cs="宋体"/>
                <w:b/>
                <w:bCs/>
                <w:kern w:val="0"/>
                <w:sz w:val="22"/>
                <w:szCs w:val="22"/>
              </w:rPr>
              <w:t>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X3850X6服务器</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 xml:space="preserve">IBM X3850X5 </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5</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3</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 xml:space="preserve">HP DL388 Gen9 </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8</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4</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浪潮 NF5280M4</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5</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 xml:space="preserve">联想 SR650 </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6</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 xml:space="preserve">DELL R720 </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5</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7</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 xml:space="preserve">联想 X3650M4 </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4</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金山院区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8</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 xml:space="preserve">华为 RH2288H V5 </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17</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9</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华为 RH2488H V5</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10</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华为 RH5885H V5</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11</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rPr>
              <w:t>华为 RH1288H V5</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12</w:t>
            </w:r>
          </w:p>
        </w:tc>
        <w:tc>
          <w:tcPr>
            <w:tcW w:w="4925" w:type="dxa"/>
            <w:shd w:val="clear" w:color="000000" w:fill="FFFFFF"/>
            <w:vAlign w:val="center"/>
          </w:tcPr>
          <w:p>
            <w:pPr>
              <w:widowControl/>
              <w:jc w:val="left"/>
              <w:rPr>
                <w:rFonts w:hint="eastAsia" w:ascii="宋体" w:hAnsi="宋体" w:cs="宋体"/>
                <w:kern w:val="0"/>
                <w:sz w:val="22"/>
              </w:rPr>
            </w:pPr>
            <w:r>
              <w:rPr>
                <w:rFonts w:hint="eastAsia" w:ascii="宋体" w:hAnsi="宋体" w:cs="宋体"/>
                <w:kern w:val="0"/>
                <w:sz w:val="22"/>
                <w:szCs w:val="22"/>
                <w:lang w:val="en-US" w:eastAsia="zh-CN"/>
              </w:rPr>
              <w:t>F5-BIG-</w:t>
            </w:r>
            <w:r>
              <w:rPr>
                <w:rFonts w:hint="eastAsia" w:ascii="宋体" w:hAnsi="宋体" w:cs="宋体"/>
                <w:kern w:val="0"/>
                <w:sz w:val="22"/>
                <w:szCs w:val="22"/>
              </w:rPr>
              <w:t>LTM</w:t>
            </w:r>
            <w:r>
              <w:rPr>
                <w:rFonts w:hint="eastAsia" w:ascii="宋体" w:hAnsi="宋体" w:cs="宋体"/>
                <w:kern w:val="0"/>
                <w:sz w:val="22"/>
                <w:szCs w:val="22"/>
                <w:lang w:val="en-US" w:eastAsia="zh-CN"/>
              </w:rPr>
              <w:t>-</w:t>
            </w:r>
            <w:r>
              <w:rPr>
                <w:rFonts w:hint="eastAsia" w:ascii="宋体" w:hAnsi="宋体" w:cs="宋体"/>
                <w:kern w:val="0"/>
                <w:sz w:val="22"/>
                <w:szCs w:val="22"/>
              </w:rPr>
              <w:t>4000S</w:t>
            </w:r>
            <w:r>
              <w:rPr>
                <w:rFonts w:hint="eastAsia" w:ascii="宋体" w:hAnsi="宋体" w:cs="宋体"/>
                <w:kern w:val="0"/>
                <w:sz w:val="22"/>
              </w:rPr>
              <w:t>负载均衡设备</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51" w:type="dxa"/>
            <w:shd w:val="clear" w:color="000000" w:fill="FFFFFF"/>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szCs w:val="22"/>
                <w:lang w:eastAsia="zh-CN"/>
              </w:rPr>
              <w:t>东街院区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2"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13</w:t>
            </w:r>
          </w:p>
        </w:tc>
        <w:tc>
          <w:tcPr>
            <w:tcW w:w="4925" w:type="dxa"/>
            <w:shd w:val="clear" w:color="000000" w:fill="FFFFFF"/>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rPr>
              <w:t>服务器系统运维服务</w:t>
            </w:r>
          </w:p>
        </w:tc>
        <w:tc>
          <w:tcPr>
            <w:tcW w:w="1134" w:type="dxa"/>
            <w:shd w:val="clear" w:color="000000" w:fill="FFFFFF"/>
            <w:vAlign w:val="center"/>
          </w:tcPr>
          <w:p>
            <w:pPr>
              <w:widowControl/>
              <w:jc w:val="center"/>
              <w:rPr>
                <w:rFonts w:hint="eastAsia" w:ascii="宋体" w:hAnsi="宋体" w:cs="宋体"/>
                <w:kern w:val="0"/>
                <w:sz w:val="22"/>
              </w:rPr>
            </w:pPr>
            <w:r>
              <w:rPr>
                <w:rFonts w:hint="eastAsia" w:ascii="宋体" w:hAnsi="宋体" w:cs="宋体"/>
                <w:kern w:val="0"/>
                <w:sz w:val="22"/>
              </w:rPr>
              <w:t>1</w:t>
            </w:r>
          </w:p>
        </w:tc>
        <w:tc>
          <w:tcPr>
            <w:tcW w:w="1151" w:type="dxa"/>
            <w:shd w:val="clear" w:color="000000" w:fill="FFFFFF"/>
            <w:vAlign w:val="center"/>
          </w:tcPr>
          <w:p>
            <w:pPr>
              <w:widowControl/>
              <w:jc w:val="center"/>
              <w:rPr>
                <w:rFonts w:hint="default" w:ascii="宋体" w:hAnsi="宋体" w:cs="宋体"/>
                <w:kern w:val="0"/>
                <w:sz w:val="22"/>
                <w:szCs w:val="22"/>
                <w:lang w:val="en-US" w:eastAsia="zh-CN"/>
              </w:rPr>
            </w:pPr>
          </w:p>
        </w:tc>
      </w:tr>
    </w:tbl>
    <w:p>
      <w:pPr>
        <w:pStyle w:val="4"/>
        <w:spacing w:before="0" w:beforeAutospacing="0" w:after="0" w:afterAutospacing="0" w:line="360" w:lineRule="auto"/>
        <w:rPr>
          <w:rStyle w:val="6"/>
          <w:rFonts w:hint="eastAsia"/>
          <w:color w:val="000000"/>
          <w:shd w:val="clear" w:color="auto" w:fill="FFFFFF"/>
        </w:rPr>
      </w:pPr>
    </w:p>
    <w:p>
      <w:pPr>
        <w:pStyle w:val="4"/>
        <w:spacing w:before="0" w:beforeAutospacing="0" w:after="0" w:afterAutospacing="0" w:line="360" w:lineRule="auto"/>
        <w:rPr>
          <w:rStyle w:val="6"/>
          <w:rFonts w:hint="eastAsia"/>
          <w:b w:val="0"/>
          <w:bCs w:val="0"/>
          <w:color w:val="000000"/>
          <w:shd w:val="clear" w:color="auto" w:fill="FFFFFF"/>
        </w:rPr>
      </w:pPr>
      <w:r>
        <w:rPr>
          <w:rStyle w:val="6"/>
          <w:rFonts w:hint="eastAsia"/>
          <w:b w:val="0"/>
          <w:bCs w:val="0"/>
          <w:color w:val="000000"/>
          <w:shd w:val="clear" w:color="auto" w:fill="FFFFFF"/>
        </w:rPr>
        <w:t>2.2、</w:t>
      </w:r>
      <w:r>
        <w:rPr>
          <w:rFonts w:hint="eastAsia"/>
          <w:b/>
          <w:bCs/>
        </w:rPr>
        <w:t>存储设备维保服务</w:t>
      </w:r>
    </w:p>
    <w:tbl>
      <w:tblPr>
        <w:tblStyle w:val="7"/>
        <w:tblW w:w="8519" w:type="dxa"/>
        <w:tblInd w:w="108" w:type="dxa"/>
        <w:tblLayout w:type="fixed"/>
        <w:tblCellMar>
          <w:top w:w="0" w:type="dxa"/>
          <w:left w:w="108" w:type="dxa"/>
          <w:bottom w:w="0" w:type="dxa"/>
          <w:right w:w="108" w:type="dxa"/>
        </w:tblCellMar>
      </w:tblPr>
      <w:tblGrid>
        <w:gridCol w:w="1064"/>
        <w:gridCol w:w="5157"/>
        <w:gridCol w:w="1074"/>
        <w:gridCol w:w="1224"/>
      </w:tblGrid>
      <w:tr>
        <w:tblPrEx>
          <w:tblLayout w:type="fixed"/>
          <w:tblCellMar>
            <w:top w:w="0" w:type="dxa"/>
            <w:left w:w="108" w:type="dxa"/>
            <w:bottom w:w="0" w:type="dxa"/>
            <w:right w:w="108" w:type="dxa"/>
          </w:tblCellMar>
        </w:tblPrEx>
        <w:trPr>
          <w:trHeight w:val="270" w:hRule="atLeast"/>
        </w:trPr>
        <w:tc>
          <w:tcPr>
            <w:tcW w:w="10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bookmarkStart w:id="0" w:name="_Hlk213765018"/>
            <w:r>
              <w:rPr>
                <w:rFonts w:hint="eastAsia" w:ascii="宋体" w:hAnsi="宋体" w:cs="宋体"/>
                <w:b/>
                <w:bCs/>
                <w:kern w:val="0"/>
                <w:sz w:val="22"/>
                <w:szCs w:val="22"/>
              </w:rPr>
              <w:t>序号</w:t>
            </w:r>
          </w:p>
        </w:tc>
        <w:tc>
          <w:tcPr>
            <w:tcW w:w="51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07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122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院区</w:t>
            </w:r>
          </w:p>
        </w:tc>
      </w:tr>
      <w:tr>
        <w:tblPrEx>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2"/>
                <w:szCs w:val="22"/>
              </w:rPr>
            </w:pPr>
            <w:r>
              <w:rPr>
                <w:rFonts w:hint="eastAsia" w:ascii="宋体" w:hAnsi="宋体" w:cs="宋体"/>
                <w:kern w:val="0"/>
                <w:sz w:val="22"/>
                <w:szCs w:val="22"/>
              </w:rPr>
              <w:t>Isilon A200存储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东街院区</w:t>
            </w:r>
          </w:p>
        </w:tc>
      </w:tr>
      <w:tr>
        <w:tblPrEx>
          <w:tblLayout w:type="fixed"/>
          <w:tblCellMar>
            <w:top w:w="0" w:type="dxa"/>
            <w:left w:w="108" w:type="dxa"/>
            <w:bottom w:w="0" w:type="dxa"/>
            <w:right w:w="108" w:type="dxa"/>
          </w:tblCellMar>
        </w:tblPrEx>
        <w:trPr>
          <w:trHeight w:val="54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2"/>
                <w:szCs w:val="22"/>
              </w:rPr>
            </w:pPr>
            <w:r>
              <w:rPr>
                <w:rFonts w:hint="eastAsia" w:ascii="宋体" w:hAnsi="宋体" w:cs="宋体"/>
                <w:kern w:val="0"/>
                <w:sz w:val="22"/>
                <w:szCs w:val="22"/>
              </w:rPr>
              <w:t>Unity400存储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东街院区</w:t>
            </w:r>
          </w:p>
        </w:tc>
      </w:tr>
      <w:tr>
        <w:tblPrEx>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华为 OceanStor5300 V5存储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东街院区</w:t>
            </w:r>
          </w:p>
        </w:tc>
      </w:tr>
      <w:tr>
        <w:tblPrEx>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2"/>
                <w:szCs w:val="22"/>
              </w:rPr>
            </w:pPr>
            <w:r>
              <w:rPr>
                <w:rFonts w:hint="eastAsia" w:ascii="宋体" w:hAnsi="宋体" w:cs="宋体"/>
                <w:kern w:val="0"/>
                <w:sz w:val="22"/>
                <w:szCs w:val="22"/>
              </w:rPr>
              <w:t>HP P2000磁盘阵列</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东街院区</w:t>
            </w:r>
          </w:p>
        </w:tc>
      </w:tr>
      <w:tr>
        <w:tblPrEx>
          <w:tblLayout w:type="fixed"/>
          <w:tblCellMar>
            <w:top w:w="0" w:type="dxa"/>
            <w:left w:w="108" w:type="dxa"/>
            <w:bottom w:w="0" w:type="dxa"/>
            <w:right w:w="108" w:type="dxa"/>
          </w:tblCellMar>
        </w:tblPrEx>
        <w:trPr>
          <w:trHeight w:val="270" w:hRule="atLeast"/>
        </w:trPr>
        <w:tc>
          <w:tcPr>
            <w:tcW w:w="106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515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宏杉 MS2500G2-12E存储</w:t>
            </w:r>
          </w:p>
        </w:tc>
        <w:tc>
          <w:tcPr>
            <w:tcW w:w="107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东街院区</w:t>
            </w:r>
          </w:p>
        </w:tc>
      </w:tr>
      <w:tr>
        <w:tblPrEx>
          <w:tblLayout w:type="fixed"/>
          <w:tblCellMar>
            <w:top w:w="0" w:type="dxa"/>
            <w:left w:w="108" w:type="dxa"/>
            <w:bottom w:w="0" w:type="dxa"/>
            <w:right w:w="108" w:type="dxa"/>
          </w:tblCellMar>
        </w:tblPrEx>
        <w:trPr>
          <w:trHeight w:val="270" w:hRule="atLeast"/>
        </w:trPr>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1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核心业务保障及容灾服务</w:t>
            </w:r>
          </w:p>
        </w:tc>
        <w:tc>
          <w:tcPr>
            <w:tcW w:w="10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szCs w:val="22"/>
                <w:lang w:eastAsia="zh-CN"/>
              </w:rPr>
            </w:pPr>
          </w:p>
        </w:tc>
      </w:tr>
      <w:bookmarkEnd w:id="0"/>
    </w:tbl>
    <w:p>
      <w:pPr>
        <w:pStyle w:val="4"/>
        <w:spacing w:before="0" w:beforeAutospacing="0" w:after="0" w:afterAutospacing="0" w:line="360" w:lineRule="auto"/>
        <w:rPr>
          <w:rStyle w:val="6"/>
          <w:rFonts w:hint="eastAsia"/>
          <w:color w:val="000000"/>
          <w:shd w:val="clear" w:color="auto" w:fill="FFFFFF"/>
        </w:rPr>
      </w:pPr>
    </w:p>
    <w:p>
      <w:pPr>
        <w:pStyle w:val="4"/>
        <w:spacing w:before="0" w:beforeAutospacing="0" w:after="0" w:afterAutospacing="0" w:line="360" w:lineRule="auto"/>
        <w:rPr>
          <w:rStyle w:val="6"/>
          <w:rFonts w:hint="eastAsia"/>
          <w:color w:val="000000"/>
          <w:shd w:val="clear" w:color="auto" w:fill="FFFFFF"/>
        </w:rPr>
      </w:pPr>
      <w:r>
        <w:rPr>
          <w:rStyle w:val="6"/>
          <w:rFonts w:hint="eastAsia"/>
          <w:color w:val="000000"/>
          <w:shd w:val="clear" w:color="auto" w:fill="FFFFFF"/>
        </w:rPr>
        <w:t>三、服务内容</w:t>
      </w:r>
    </w:p>
    <w:p>
      <w:pPr>
        <w:pStyle w:val="4"/>
        <w:spacing w:before="0" w:beforeAutospacing="0" w:after="0" w:afterAutospacing="0" w:line="360" w:lineRule="auto"/>
        <w:rPr>
          <w:rStyle w:val="6"/>
          <w:rFonts w:hint="eastAsia"/>
        </w:rPr>
      </w:pPr>
      <w:r>
        <w:rPr>
          <w:rStyle w:val="6"/>
          <w:rFonts w:hint="eastAsia"/>
          <w:b w:val="0"/>
          <w:bCs w:val="0"/>
          <w:color w:val="000000"/>
          <w:shd w:val="clear" w:color="auto" w:fill="FFFFFF"/>
        </w:rPr>
        <w:t>3.1、</w:t>
      </w:r>
      <w:r>
        <w:rPr>
          <w:rFonts w:hint="eastAsia"/>
          <w:b/>
          <w:bCs/>
        </w:rPr>
        <w:t>服务器设备维保服务</w:t>
      </w:r>
    </w:p>
    <w:p>
      <w:pPr>
        <w:pStyle w:val="4"/>
        <w:spacing w:before="0" w:beforeAutospacing="0" w:after="0" w:afterAutospacing="0" w:line="360" w:lineRule="auto"/>
        <w:ind w:firstLine="240" w:firstLineChars="100"/>
        <w:rPr>
          <w:rStyle w:val="6"/>
          <w:rFonts w:hint="eastAsia"/>
          <w:color w:val="000000"/>
          <w:shd w:val="clear" w:color="auto" w:fill="FFFFFF"/>
        </w:rPr>
      </w:pPr>
      <w:r>
        <w:rPr>
          <w:rFonts w:hint="eastAsia"/>
        </w:rPr>
        <w:t>★1、对服务范围内的所有服务器设备提供一年7*24小时运维服务，包含至少一名工程师</w:t>
      </w:r>
      <w:r>
        <w:rPr>
          <w:rFonts w:hint="eastAsia"/>
          <w:b/>
          <w:bCs/>
        </w:rPr>
        <w:t>驻点服务</w:t>
      </w:r>
      <w:r>
        <w:rPr>
          <w:rFonts w:hint="eastAsia"/>
        </w:rPr>
        <w:t>（工作作息时间与采购人一致并与采购人维护人员共同考勤）。驻点工程师具有至少三年以上系统维护经验，服务商需在进场实施前向采购人提交驻点工程师身份证、资格证书等备案办理工作牌。并承诺在服务期间未经采购人允许不得更换驻点工程师。</w:t>
      </w:r>
    </w:p>
    <w:p>
      <w:pPr>
        <w:spacing w:line="360" w:lineRule="auto"/>
        <w:ind w:firstLine="480" w:firstLineChars="200"/>
        <w:rPr>
          <w:rFonts w:hint="eastAsia" w:ascii="宋体" w:hAnsi="宋体"/>
          <w:sz w:val="24"/>
          <w:szCs w:val="24"/>
        </w:rPr>
      </w:pPr>
      <w:r>
        <w:rPr>
          <w:rFonts w:hint="eastAsia" w:ascii="宋体" w:hAnsi="宋体"/>
          <w:sz w:val="24"/>
          <w:szCs w:val="24"/>
        </w:rPr>
        <w:t>2、对服务范围内的所有服务器设备提供为期1年的设备</w:t>
      </w:r>
      <w:r>
        <w:rPr>
          <w:rFonts w:hint="eastAsia" w:ascii="宋体" w:hAnsi="宋体"/>
          <w:sz w:val="24"/>
          <w:szCs w:val="24"/>
          <w:lang w:eastAsia="zh-CN"/>
        </w:rPr>
        <w:t>维保</w:t>
      </w:r>
      <w:r>
        <w:rPr>
          <w:rFonts w:hint="eastAsia" w:ascii="宋体" w:hAnsi="宋体"/>
          <w:sz w:val="24"/>
          <w:szCs w:val="24"/>
        </w:rPr>
        <w:t>服务，</w:t>
      </w:r>
      <w:r>
        <w:rPr>
          <w:rFonts w:hint="eastAsia" w:ascii="宋体" w:hAnsi="宋体"/>
          <w:sz w:val="24"/>
          <w:szCs w:val="24"/>
          <w:lang w:eastAsia="zh-CN"/>
        </w:rPr>
        <w:t>维保</w:t>
      </w:r>
      <w:r>
        <w:rPr>
          <w:rFonts w:hint="eastAsia" w:ascii="宋体" w:hAnsi="宋体"/>
          <w:sz w:val="24"/>
          <w:szCs w:val="24"/>
        </w:rPr>
        <w:t>服务期自采购合同生效之日起计算。</w:t>
      </w:r>
      <w:r>
        <w:rPr>
          <w:rFonts w:hint="eastAsia" w:ascii="宋体" w:hAnsi="宋体"/>
          <w:sz w:val="24"/>
          <w:szCs w:val="24"/>
          <w:lang w:eastAsia="zh-CN"/>
        </w:rPr>
        <w:t>维保</w:t>
      </w:r>
      <w:r>
        <w:rPr>
          <w:rFonts w:hint="eastAsia" w:ascii="宋体" w:hAnsi="宋体"/>
          <w:sz w:val="24"/>
          <w:szCs w:val="24"/>
        </w:rPr>
        <w:t>服务期内，服务商按合同条款提供免费服务，</w:t>
      </w:r>
      <w:r>
        <w:rPr>
          <w:rFonts w:hint="eastAsia" w:ascii="宋体" w:hAnsi="宋体"/>
          <w:sz w:val="24"/>
          <w:szCs w:val="24"/>
          <w:lang w:eastAsia="zh-CN"/>
        </w:rPr>
        <w:t>维保</w:t>
      </w:r>
      <w:r>
        <w:rPr>
          <w:rFonts w:hint="eastAsia" w:ascii="宋体" w:hAnsi="宋体"/>
          <w:sz w:val="24"/>
          <w:szCs w:val="24"/>
        </w:rPr>
        <w:t>期间，设备非因人为与不可抗力原因造成的设备损坏由服务方负责包修、包换。</w:t>
      </w:r>
    </w:p>
    <w:p>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维保</w:t>
      </w:r>
      <w:r>
        <w:rPr>
          <w:rFonts w:hint="eastAsia" w:ascii="宋体" w:hAnsi="宋体"/>
          <w:sz w:val="24"/>
          <w:szCs w:val="24"/>
        </w:rPr>
        <w:t>服务期内，服务商应该提供7*</w:t>
      </w:r>
      <w:r>
        <w:rPr>
          <w:rFonts w:ascii="宋体" w:hAnsi="宋体"/>
          <w:sz w:val="24"/>
          <w:szCs w:val="24"/>
        </w:rPr>
        <w:t>24</w:t>
      </w:r>
      <w:r>
        <w:rPr>
          <w:rFonts w:hint="eastAsia" w:ascii="宋体" w:hAnsi="宋体"/>
          <w:sz w:val="24"/>
          <w:szCs w:val="24"/>
        </w:rPr>
        <w:t>小时电话支持服务，服务商在接到采购人电话报修后</w:t>
      </w:r>
      <w:r>
        <w:rPr>
          <w:rFonts w:ascii="宋体" w:hAnsi="宋体"/>
          <w:sz w:val="24"/>
          <w:szCs w:val="24"/>
        </w:rPr>
        <w:t>1</w:t>
      </w:r>
      <w:r>
        <w:rPr>
          <w:rFonts w:hint="eastAsia" w:ascii="宋体" w:hAnsi="宋体"/>
          <w:sz w:val="24"/>
          <w:szCs w:val="24"/>
        </w:rPr>
        <w:t>个小时内派工程师到达现场排除故障，2</w:t>
      </w:r>
      <w:r>
        <w:rPr>
          <w:rFonts w:ascii="宋体" w:hAnsi="宋体"/>
          <w:sz w:val="24"/>
          <w:szCs w:val="24"/>
        </w:rPr>
        <w:t>4</w:t>
      </w:r>
      <w:r>
        <w:rPr>
          <w:rFonts w:hint="eastAsia" w:ascii="宋体" w:hAnsi="宋体"/>
          <w:sz w:val="24"/>
          <w:szCs w:val="24"/>
        </w:rPr>
        <w:t>小时内修复设备。否则服务商应提供同档次备用设备以保证采购人业务正常运行。</w:t>
      </w:r>
    </w:p>
    <w:p>
      <w:pPr>
        <w:spacing w:line="360" w:lineRule="auto"/>
        <w:ind w:firstLine="480" w:firstLineChars="200"/>
        <w:rPr>
          <w:rFonts w:hint="eastAsia" w:ascii="宋体" w:hAnsi="宋体"/>
          <w:sz w:val="24"/>
          <w:szCs w:val="24"/>
        </w:rPr>
      </w:pPr>
      <w:r>
        <w:rPr>
          <w:rFonts w:hint="eastAsia" w:ascii="宋体" w:hAnsi="宋体"/>
          <w:sz w:val="24"/>
          <w:szCs w:val="24"/>
        </w:rPr>
        <w:t>4、要求提供充足的备件服务（4小时内配件现场供货服务），对设备的故障件均给予现场维修及换件服务，所提供的备件确保能迅速使参保设备恢复正常工作，保证业务可持续性。</w:t>
      </w:r>
    </w:p>
    <w:p>
      <w:pPr>
        <w:spacing w:line="360" w:lineRule="auto"/>
        <w:ind w:firstLine="480" w:firstLineChars="200"/>
        <w:rPr>
          <w:rFonts w:hint="eastAsia" w:ascii="宋体" w:hAnsi="宋体"/>
          <w:sz w:val="24"/>
          <w:szCs w:val="24"/>
        </w:rPr>
      </w:pPr>
      <w:r>
        <w:rPr>
          <w:rFonts w:hint="eastAsia" w:ascii="宋体" w:hAnsi="宋体"/>
          <w:sz w:val="24"/>
          <w:szCs w:val="24"/>
        </w:rPr>
        <w:t>5、服务商应该对服务范围内的设备提供定期巡检服务，确认设备运行状态，检查系统错误记录，排除隐患故障。关键核心设备至少每周一次巡检，其它设备每月至少一次巡检。每次巡检完毕应向采购方出具系统检查报告。</w:t>
      </w:r>
    </w:p>
    <w:p>
      <w:pPr>
        <w:spacing w:line="360" w:lineRule="auto"/>
        <w:ind w:firstLine="480" w:firstLineChars="200"/>
        <w:rPr>
          <w:rFonts w:hint="eastAsia" w:ascii="宋体" w:hAnsi="宋体"/>
          <w:sz w:val="24"/>
          <w:szCs w:val="24"/>
        </w:rPr>
      </w:pPr>
      <w:r>
        <w:rPr>
          <w:rFonts w:hint="eastAsia" w:ascii="宋体" w:hAnsi="宋体"/>
          <w:sz w:val="24"/>
          <w:szCs w:val="24"/>
        </w:rPr>
        <w:t>6、服务商负责对服务范围内的设备进行系统日志导出及配置备份，备份文件应该保持更新，设备配置无变化时最小备份周期为1个月。在服务期结束后，应当将备份的数据归档并提供给采购人。</w:t>
      </w:r>
    </w:p>
    <w:p/>
    <w:p>
      <w:pPr>
        <w:pStyle w:val="4"/>
        <w:spacing w:before="0" w:beforeAutospacing="0" w:after="0" w:afterAutospacing="0" w:line="360" w:lineRule="auto"/>
        <w:rPr>
          <w:rStyle w:val="6"/>
          <w:rFonts w:hint="eastAsia"/>
          <w:b w:val="0"/>
          <w:bCs w:val="0"/>
          <w:color w:val="000000"/>
          <w:shd w:val="clear" w:color="auto" w:fill="FFFFFF"/>
        </w:rPr>
      </w:pPr>
      <w:r>
        <w:rPr>
          <w:rStyle w:val="6"/>
          <w:rFonts w:hint="eastAsia"/>
          <w:b w:val="0"/>
          <w:bCs w:val="0"/>
          <w:color w:val="000000"/>
          <w:shd w:val="clear" w:color="auto" w:fill="FFFFFF"/>
        </w:rPr>
        <w:t>3.2、</w:t>
      </w:r>
      <w:r>
        <w:rPr>
          <w:rFonts w:hint="eastAsia"/>
          <w:b/>
          <w:bCs/>
        </w:rPr>
        <w:t>存储设备维保服务</w:t>
      </w:r>
    </w:p>
    <w:p>
      <w:pPr>
        <w:pStyle w:val="4"/>
        <w:spacing w:before="0" w:beforeAutospacing="0" w:after="0" w:afterAutospacing="0" w:line="360" w:lineRule="auto"/>
        <w:rPr>
          <w:rStyle w:val="6"/>
          <w:rFonts w:hint="eastAsia"/>
          <w:color w:val="000000"/>
          <w:shd w:val="clear" w:color="auto" w:fill="FFFFFF"/>
        </w:rPr>
      </w:pPr>
      <w:r>
        <w:rPr>
          <w:rStyle w:val="6"/>
          <w:rFonts w:hint="eastAsia"/>
          <w:color w:val="000000"/>
          <w:shd w:val="clear" w:color="auto" w:fill="FFFFFF"/>
        </w:rPr>
        <w:t>（一）</w:t>
      </w:r>
      <w:bookmarkStart w:id="1" w:name="_Hlk213765711"/>
      <w:r>
        <w:rPr>
          <w:rStyle w:val="6"/>
          <w:rFonts w:hint="eastAsia"/>
          <w:color w:val="000000"/>
          <w:shd w:val="clear" w:color="auto" w:fill="FFFFFF"/>
        </w:rPr>
        <w:t>存储相关设备维保服务：</w:t>
      </w:r>
    </w:p>
    <w:p>
      <w:pPr>
        <w:pStyle w:val="4"/>
        <w:spacing w:before="0" w:beforeAutospacing="0" w:after="0" w:afterAutospacing="0" w:line="360" w:lineRule="auto"/>
        <w:ind w:firstLine="240" w:firstLineChars="100"/>
        <w:rPr>
          <w:rStyle w:val="6"/>
          <w:rFonts w:hint="eastAsia"/>
          <w:color w:val="000000"/>
          <w:shd w:val="clear" w:color="auto" w:fill="FFFFFF"/>
        </w:rPr>
      </w:pPr>
      <w:r>
        <w:rPr>
          <w:rFonts w:hint="eastAsia"/>
        </w:rPr>
        <w:t>1、对服务范围内的所有设备提供为期1年的</w:t>
      </w:r>
      <w:r>
        <w:rPr>
          <w:rFonts w:hint="eastAsia"/>
          <w:lang w:eastAsia="zh-CN"/>
        </w:rPr>
        <w:t>维保</w:t>
      </w:r>
      <w:r>
        <w:rPr>
          <w:rFonts w:hint="eastAsia"/>
        </w:rPr>
        <w:t>服务，</w:t>
      </w:r>
      <w:r>
        <w:rPr>
          <w:rFonts w:hint="eastAsia"/>
          <w:lang w:eastAsia="zh-CN"/>
        </w:rPr>
        <w:t>维保</w:t>
      </w:r>
      <w:r>
        <w:rPr>
          <w:rFonts w:hint="eastAsia"/>
        </w:rPr>
        <w:t>服务期自采购合同生效之日起计算。</w:t>
      </w:r>
      <w:r>
        <w:rPr>
          <w:rFonts w:hint="eastAsia"/>
          <w:lang w:eastAsia="zh-CN"/>
        </w:rPr>
        <w:t>维保</w:t>
      </w:r>
      <w:r>
        <w:rPr>
          <w:rFonts w:hint="eastAsia"/>
        </w:rPr>
        <w:t>服务期内，中标人按合同条款提供免费服务，</w:t>
      </w:r>
      <w:r>
        <w:rPr>
          <w:rFonts w:hint="eastAsia"/>
          <w:lang w:eastAsia="zh-CN"/>
        </w:rPr>
        <w:t>维保</w:t>
      </w:r>
      <w:r>
        <w:rPr>
          <w:rFonts w:hint="eastAsia"/>
        </w:rPr>
        <w:t>期间，设备非因人为与不可抗力原因造成的设备损坏由中标方负责包修、包换。</w:t>
      </w:r>
    </w:p>
    <w:p>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维保</w:t>
      </w:r>
      <w:r>
        <w:rPr>
          <w:rFonts w:hint="eastAsia" w:ascii="宋体" w:hAnsi="宋体"/>
          <w:sz w:val="24"/>
          <w:szCs w:val="24"/>
        </w:rPr>
        <w:t>服务期内，中标人应该提供7*24小时电话支持服务，中标人在接到采购人电话报修后1个小时内派工程师到达现场排除故障，24小时内修复设备。否则中标人应提供同档次备用设备以保证采购人业务正常运行。</w:t>
      </w:r>
    </w:p>
    <w:p>
      <w:pPr>
        <w:spacing w:line="360" w:lineRule="auto"/>
        <w:ind w:firstLine="480" w:firstLineChars="200"/>
        <w:rPr>
          <w:rFonts w:hint="eastAsia" w:ascii="宋体" w:hAnsi="宋体"/>
          <w:sz w:val="24"/>
          <w:szCs w:val="24"/>
        </w:rPr>
      </w:pPr>
      <w:r>
        <w:rPr>
          <w:rFonts w:hint="eastAsia" w:ascii="宋体" w:hAnsi="宋体"/>
          <w:sz w:val="24"/>
          <w:szCs w:val="24"/>
        </w:rPr>
        <w:t>3、要求提供充足的备件服务（4小时内配件现场供货服务），对设备的故障件均给予现场维修及换件服务，所提供的备件确保能迅速使参保设备恢复正常工作，保证业务可持续性。</w:t>
      </w:r>
    </w:p>
    <w:p>
      <w:pPr>
        <w:spacing w:line="360" w:lineRule="auto"/>
        <w:ind w:firstLine="480" w:firstLineChars="200"/>
        <w:rPr>
          <w:rFonts w:hint="eastAsia" w:ascii="宋体" w:hAnsi="宋体"/>
          <w:sz w:val="24"/>
          <w:szCs w:val="24"/>
        </w:rPr>
      </w:pPr>
      <w:r>
        <w:rPr>
          <w:rFonts w:hint="eastAsia" w:ascii="宋体" w:hAnsi="宋体"/>
          <w:sz w:val="24"/>
          <w:szCs w:val="24"/>
        </w:rPr>
        <w:t>4、中标人应该对服务范围内的设备提供定期巡检服务，确认设备运行状态，检查系统错误记录，排除隐患故障。关键核心设备至少每周一次巡检，其它设备每月至少一次巡检。每次巡检完毕应向采购方出具系统检查报告。</w:t>
      </w:r>
    </w:p>
    <w:p>
      <w:pPr>
        <w:spacing w:line="360" w:lineRule="auto"/>
        <w:ind w:firstLine="480" w:firstLineChars="200"/>
        <w:rPr>
          <w:rFonts w:hint="eastAsia" w:ascii="宋体" w:hAnsi="宋体"/>
          <w:sz w:val="24"/>
          <w:szCs w:val="24"/>
        </w:rPr>
      </w:pPr>
      <w:r>
        <w:rPr>
          <w:rFonts w:hint="eastAsia" w:ascii="宋体" w:hAnsi="宋体"/>
          <w:sz w:val="24"/>
          <w:szCs w:val="24"/>
        </w:rPr>
        <w:t>5、要求当维保设备发生较大变化时，如前端物理主机更改、后端存储设备更改、Virtual Volume的更改、Device的更改、Consistency Group的更改等，为其提供技术支持服务，同时提供与主机系统的集成与调试服务，提供多链路冗余环境支持服务。</w:t>
      </w:r>
    </w:p>
    <w:p>
      <w:pPr>
        <w:spacing w:line="360" w:lineRule="auto"/>
        <w:ind w:firstLine="480" w:firstLineChars="200"/>
        <w:rPr>
          <w:rFonts w:hint="eastAsia" w:ascii="宋体" w:hAnsi="宋体"/>
          <w:sz w:val="24"/>
          <w:szCs w:val="24"/>
        </w:rPr>
      </w:pPr>
      <w:r>
        <w:rPr>
          <w:rFonts w:hint="eastAsia" w:ascii="宋体" w:hAnsi="宋体"/>
          <w:sz w:val="24"/>
          <w:szCs w:val="24"/>
        </w:rPr>
        <w:t>6、要求提供专业的移机服务，提供人员安排、移机步骤、风险隐患等，并提供实施服务。</w:t>
      </w:r>
    </w:p>
    <w:p>
      <w:pPr>
        <w:spacing w:line="360" w:lineRule="auto"/>
        <w:ind w:firstLine="480" w:firstLineChars="200"/>
        <w:rPr>
          <w:rFonts w:hint="eastAsia" w:ascii="宋体" w:hAnsi="宋体"/>
          <w:sz w:val="24"/>
          <w:szCs w:val="24"/>
        </w:rPr>
      </w:pPr>
      <w:r>
        <w:rPr>
          <w:rFonts w:hint="eastAsia" w:ascii="宋体" w:hAnsi="宋体"/>
          <w:sz w:val="24"/>
          <w:szCs w:val="24"/>
        </w:rPr>
        <w:t>7、根据信息系统运行要求将设备的系统软件升级到最新版本，并保障设备的正常运行。</w:t>
      </w:r>
    </w:p>
    <w:p>
      <w:pPr>
        <w:spacing w:line="360" w:lineRule="auto"/>
        <w:ind w:firstLine="480" w:firstLineChars="200"/>
        <w:rPr>
          <w:rFonts w:hint="eastAsia" w:ascii="宋体" w:hAnsi="宋体"/>
          <w:sz w:val="24"/>
          <w:szCs w:val="24"/>
        </w:rPr>
      </w:pPr>
      <w:r>
        <w:rPr>
          <w:rFonts w:hint="eastAsia" w:ascii="宋体" w:hAnsi="宋体"/>
          <w:sz w:val="24"/>
          <w:szCs w:val="24"/>
        </w:rPr>
        <w:t>8、要求根据管理员的需求提供现场技术交流与培训，同时要求对数据进行严格的保密工作。</w:t>
      </w:r>
    </w:p>
    <w:p>
      <w:pPr>
        <w:spacing w:line="360" w:lineRule="auto"/>
        <w:ind w:firstLine="480" w:firstLineChars="200"/>
        <w:rPr>
          <w:rFonts w:hint="eastAsia" w:ascii="宋体" w:hAnsi="宋体"/>
          <w:sz w:val="24"/>
          <w:szCs w:val="24"/>
        </w:rPr>
      </w:pPr>
      <w:r>
        <w:rPr>
          <w:rFonts w:hint="eastAsia" w:ascii="宋体" w:hAnsi="宋体"/>
          <w:sz w:val="24"/>
          <w:szCs w:val="24"/>
        </w:rPr>
        <w:t>9、★其中</w:t>
      </w:r>
      <w:r>
        <w:rPr>
          <w:rFonts w:hint="eastAsia" w:ascii="宋体" w:hAnsi="宋体"/>
          <w:sz w:val="24"/>
        </w:rPr>
        <w:t xml:space="preserve">“序号1 </w:t>
      </w:r>
      <w:r>
        <w:rPr>
          <w:rFonts w:hint="eastAsia" w:ascii="宋体" w:hAnsi="宋体" w:cs="宋体"/>
          <w:kern w:val="0"/>
          <w:sz w:val="22"/>
          <w:szCs w:val="22"/>
        </w:rPr>
        <w:t>Isilon A200存储</w:t>
      </w:r>
      <w:r>
        <w:rPr>
          <w:rFonts w:hint="eastAsia" w:ascii="宋体" w:hAnsi="宋体"/>
          <w:sz w:val="24"/>
        </w:rPr>
        <w:t xml:space="preserve">”和“序号5 </w:t>
      </w:r>
      <w:r>
        <w:rPr>
          <w:rFonts w:hint="eastAsia" w:ascii="宋体" w:hAnsi="宋体" w:cs="宋体"/>
          <w:kern w:val="0"/>
          <w:sz w:val="22"/>
          <w:szCs w:val="22"/>
        </w:rPr>
        <w:t>宏杉MS2500G2-12E存储</w:t>
      </w:r>
      <w:r>
        <w:rPr>
          <w:rFonts w:hint="eastAsia" w:ascii="宋体" w:hAnsi="宋体"/>
          <w:sz w:val="24"/>
        </w:rPr>
        <w:t>”</w:t>
      </w:r>
      <w:r>
        <w:rPr>
          <w:rFonts w:hint="eastAsia" w:ascii="宋体" w:hAnsi="宋体"/>
          <w:sz w:val="24"/>
          <w:szCs w:val="24"/>
        </w:rPr>
        <w:t>为院内存储关键核心设备，中标人需承诺提供原厂</w:t>
      </w:r>
      <w:r>
        <w:rPr>
          <w:rFonts w:hint="eastAsia" w:ascii="宋体" w:hAnsi="宋体"/>
          <w:sz w:val="24"/>
          <w:szCs w:val="24"/>
          <w:lang w:eastAsia="zh-CN"/>
        </w:rPr>
        <w:t>维保</w:t>
      </w:r>
      <w:r>
        <w:rPr>
          <w:rFonts w:hint="eastAsia" w:ascii="宋体" w:hAnsi="宋体"/>
          <w:sz w:val="24"/>
          <w:szCs w:val="24"/>
        </w:rPr>
        <w:t>，提供原厂工程师每月上门巡检服务，工程师持证上门。</w:t>
      </w:r>
    </w:p>
    <w:p>
      <w:pPr>
        <w:pStyle w:val="4"/>
        <w:spacing w:before="0" w:beforeAutospacing="0" w:after="0" w:afterAutospacing="0" w:line="360" w:lineRule="auto"/>
        <w:rPr>
          <w:rStyle w:val="6"/>
          <w:rFonts w:hint="eastAsia"/>
          <w:color w:val="000000"/>
          <w:shd w:val="clear" w:color="auto" w:fill="FFFFFF"/>
        </w:rPr>
      </w:pPr>
      <w:r>
        <w:rPr>
          <w:rStyle w:val="6"/>
          <w:rFonts w:hint="eastAsia"/>
          <w:color w:val="000000"/>
          <w:shd w:val="clear" w:color="auto" w:fill="FFFFFF"/>
        </w:rPr>
        <w:t>（二）核心业务保障及容灾服务：</w:t>
      </w:r>
    </w:p>
    <w:p>
      <w:pPr>
        <w:spacing w:line="360" w:lineRule="auto"/>
        <w:ind w:firstLine="480" w:firstLineChars="200"/>
        <w:rPr>
          <w:rFonts w:hint="eastAsia" w:ascii="宋体" w:hAnsi="宋体"/>
          <w:sz w:val="24"/>
          <w:szCs w:val="24"/>
        </w:rPr>
      </w:pPr>
      <w:r>
        <w:rPr>
          <w:rFonts w:hint="eastAsia" w:ascii="宋体" w:hAnsi="宋体"/>
          <w:sz w:val="24"/>
          <w:szCs w:val="24"/>
        </w:rPr>
        <w:t>★对福州大学附属省立医院的核心系统提供业务保障及容灾服务，包含至少一名工程师驻点服务（工作作息时间与采购人一致并与采购人维护人员共同考勤）。驻点工程师具有至少五年以上系统维护经验，应具备存储、虚拟化等认证工程师证书，服务商需在进场实施前向采购人提交驻点工程师身份证、资格证书等备案办理工作牌。并承诺在服务期间未经采购人允许不得更换驻点工程师。主要服务内容如下：</w:t>
      </w:r>
    </w:p>
    <w:p>
      <w:pPr>
        <w:spacing w:line="360" w:lineRule="auto"/>
        <w:ind w:firstLine="480" w:firstLineChars="200"/>
        <w:rPr>
          <w:rFonts w:hint="eastAsia" w:ascii="宋体" w:hAnsi="宋体"/>
          <w:sz w:val="24"/>
          <w:szCs w:val="24"/>
        </w:rPr>
      </w:pPr>
      <w:r>
        <w:rPr>
          <w:rFonts w:hint="eastAsia" w:ascii="宋体" w:hAnsi="宋体"/>
          <w:sz w:val="24"/>
          <w:szCs w:val="24"/>
        </w:rPr>
        <w:t>1.要求建立基于医院现状的核心业务系统服务体系，根据医院的系统现状提供整体服务规划，服务内容包括：核心业务预警服务、核心业务排障服务、核心业务系统容灾服务。</w:t>
      </w:r>
    </w:p>
    <w:p>
      <w:pPr>
        <w:spacing w:line="360" w:lineRule="auto"/>
        <w:ind w:firstLine="480" w:firstLineChars="200"/>
        <w:rPr>
          <w:rFonts w:hint="eastAsia" w:ascii="宋体" w:hAnsi="宋体"/>
          <w:sz w:val="24"/>
          <w:szCs w:val="24"/>
        </w:rPr>
      </w:pPr>
      <w:r>
        <w:rPr>
          <w:rFonts w:hint="eastAsia" w:ascii="宋体" w:hAnsi="宋体"/>
          <w:sz w:val="24"/>
          <w:szCs w:val="24"/>
        </w:rPr>
        <w:t>2.要求保障核心业务系统的有效运行，快速有效的解决核心业务系统运行过程出现的相关问题（软、硬件问题），并为核心业务系统提供容灾演练，从而保证核心业务系统的连续、稳定、高效运行，并提供一年7*24*4小时的现场技术支持服务。</w:t>
      </w:r>
    </w:p>
    <w:p>
      <w:pPr>
        <w:spacing w:line="360" w:lineRule="auto"/>
        <w:ind w:firstLine="480" w:firstLineChars="200"/>
        <w:rPr>
          <w:rFonts w:hint="eastAsia" w:ascii="宋体" w:hAnsi="宋体"/>
          <w:sz w:val="24"/>
          <w:szCs w:val="24"/>
        </w:rPr>
      </w:pPr>
      <w:r>
        <w:rPr>
          <w:rFonts w:hint="eastAsia" w:ascii="宋体" w:hAnsi="宋体"/>
          <w:sz w:val="24"/>
          <w:szCs w:val="24"/>
        </w:rPr>
        <w:t>3.建立核心业务预警系统，要求对核心业务系统（如HIS、LIS、备份系统、容灾系统、虚拟化平台等应用）的服务器硬件、操作系统软件、存储设备、数据备份系统等相关系统的工作状况进行状态监测及自动数据采集。核心业务预警系统可以及时发现监测数据的异常变化，判断系统的工作状况是否正常，对异常情况进行追踪，以便对各类问题采取针对性的措施控制和防止故障的发生，并按季度提供系统运行风险预警报告。</w:t>
      </w:r>
    </w:p>
    <w:p>
      <w:pPr>
        <w:spacing w:line="360" w:lineRule="auto"/>
        <w:ind w:firstLine="480" w:firstLineChars="200"/>
        <w:rPr>
          <w:rFonts w:hint="eastAsia" w:ascii="宋体" w:hAnsi="宋体"/>
          <w:sz w:val="24"/>
          <w:szCs w:val="24"/>
        </w:rPr>
      </w:pPr>
      <w:r>
        <w:rPr>
          <w:rFonts w:hint="eastAsia" w:ascii="宋体" w:hAnsi="宋体"/>
          <w:sz w:val="24"/>
          <w:szCs w:val="24"/>
        </w:rPr>
        <w:t>4.核心业务预警系统服务内容要求包括：系统健康检查、定期巡检(每周一次)、问题分析处置、系统规划服务。要求工程师每周到客户现场进行系统巡检，对核心业务系统的硬件及软件进行预防性的检查维护。</w:t>
      </w:r>
    </w:p>
    <w:p>
      <w:pPr>
        <w:spacing w:line="360" w:lineRule="auto"/>
        <w:ind w:firstLine="480" w:firstLineChars="200"/>
        <w:rPr>
          <w:rFonts w:hint="eastAsia" w:ascii="宋体" w:hAnsi="宋体"/>
          <w:sz w:val="24"/>
          <w:szCs w:val="24"/>
        </w:rPr>
      </w:pPr>
      <w:r>
        <w:rPr>
          <w:rFonts w:hint="eastAsia" w:ascii="宋体" w:hAnsi="宋体"/>
          <w:sz w:val="24"/>
          <w:szCs w:val="24"/>
        </w:rPr>
        <w:t>5.核心业务排障服务是委派工程师针对收到的错误信息或故障报告进行处理，采取的方式包括但不仅限于电话指导、远程联机、现场服务，帮助用户尽快消除系统缺陷，避免缺陷对系统运行造成影响。同时要求在关键时间点（包括但不限于节假日、系统割接、系统升级等）提供有效的技术保障。</w:t>
      </w:r>
    </w:p>
    <w:p>
      <w:pPr>
        <w:spacing w:line="360" w:lineRule="auto"/>
        <w:ind w:firstLine="480" w:firstLineChars="200"/>
        <w:rPr>
          <w:rFonts w:hint="eastAsia" w:ascii="宋体" w:hAnsi="宋体"/>
          <w:sz w:val="24"/>
          <w:szCs w:val="24"/>
        </w:rPr>
      </w:pPr>
      <w:r>
        <w:rPr>
          <w:rFonts w:hint="eastAsia" w:ascii="宋体" w:hAnsi="宋体"/>
          <w:sz w:val="24"/>
          <w:szCs w:val="24"/>
        </w:rPr>
        <w:t>6.系统排障服务要求包括：系统排障（物理设备排障、系统故障排除、应用系统故障排除）、系统护航（护航计划、前期准备阶段、护航实施阶段）。</w:t>
      </w:r>
    </w:p>
    <w:p>
      <w:pPr>
        <w:spacing w:line="360" w:lineRule="auto"/>
        <w:ind w:firstLine="480" w:firstLineChars="200"/>
        <w:rPr>
          <w:rFonts w:hint="eastAsia" w:ascii="宋体" w:hAnsi="宋体"/>
          <w:sz w:val="24"/>
          <w:szCs w:val="24"/>
        </w:rPr>
      </w:pPr>
      <w:r>
        <w:rPr>
          <w:rFonts w:hint="eastAsia" w:ascii="宋体" w:hAnsi="宋体"/>
          <w:sz w:val="24"/>
          <w:szCs w:val="24"/>
        </w:rPr>
        <w:t>7.系统排障服务要求交付文档：故障处理报告单、技术支持记录单、硬件升级/更新记录单、年度系统故障分析报告、系统护航计划。</w:t>
      </w:r>
    </w:p>
    <w:p>
      <w:pPr>
        <w:spacing w:line="360" w:lineRule="auto"/>
        <w:ind w:firstLine="480" w:firstLineChars="200"/>
        <w:rPr>
          <w:rFonts w:hint="eastAsia" w:ascii="宋体" w:hAnsi="宋体"/>
          <w:sz w:val="24"/>
          <w:szCs w:val="24"/>
        </w:rPr>
      </w:pPr>
      <w:r>
        <w:rPr>
          <w:rFonts w:hint="eastAsia" w:ascii="宋体" w:hAnsi="宋体"/>
          <w:sz w:val="24"/>
          <w:szCs w:val="24"/>
        </w:rPr>
        <w:t>★8.针对核心业务系统（HIS系统双机双柜容灾系统，VM虚拟机存储虚拟化容灾系统，HIS数据库容灾系统，备份系统，连续数据保护系统、虚拟化平台）建立相应的容灾机制，包括灾难恢复的计划与流程的制定、容灾系统巡检、容灾系统维护等，并要求对以上容灾系统，每年至少提供一次现场的容灾测试。要求投标人需具备利用医院现有容灾系统进行业务恢复的能力，提供本院现有RP for VM虚拟化连续数据保护系统恢复虚拟机业务的操作步骤截图。</w:t>
      </w:r>
    </w:p>
    <w:p>
      <w:pPr>
        <w:spacing w:line="360" w:lineRule="auto"/>
        <w:ind w:firstLine="480" w:firstLineChars="200"/>
        <w:rPr>
          <w:rFonts w:hint="eastAsia" w:ascii="宋体" w:hAnsi="宋体"/>
          <w:sz w:val="24"/>
          <w:szCs w:val="24"/>
        </w:rPr>
      </w:pPr>
      <w:r>
        <w:rPr>
          <w:rFonts w:hint="eastAsia" w:ascii="宋体" w:hAnsi="宋体"/>
          <w:sz w:val="24"/>
          <w:szCs w:val="24"/>
        </w:rPr>
        <w:t>9.根据信息系统运行要求将容灾系统（HIS系统双机双柜容灾系统，VM虚拟机存储虚拟化容灾系统，HIS数据库容灾系统，备份系统，连续数据保护系统）升级到最新版本，优化并调整现有的容灾系统策略，升级过程中保障系统正常运行。</w:t>
      </w:r>
    </w:p>
    <w:p>
      <w:pPr>
        <w:spacing w:line="360" w:lineRule="auto"/>
        <w:ind w:firstLine="480" w:firstLineChars="200"/>
        <w:rPr>
          <w:rFonts w:hint="eastAsia" w:ascii="宋体" w:hAnsi="宋体"/>
          <w:sz w:val="24"/>
          <w:szCs w:val="24"/>
        </w:rPr>
      </w:pPr>
      <w:r>
        <w:rPr>
          <w:rFonts w:hint="eastAsia" w:ascii="宋体" w:hAnsi="宋体"/>
          <w:sz w:val="24"/>
          <w:szCs w:val="24"/>
        </w:rPr>
        <w:t>10.</w:t>
      </w:r>
      <w:r>
        <w:rPr>
          <w:rFonts w:hint="eastAsia"/>
        </w:rPr>
        <w:t xml:space="preserve"> </w:t>
      </w:r>
      <w:r>
        <w:rPr>
          <w:rFonts w:hint="eastAsia" w:ascii="宋体" w:hAnsi="宋体"/>
          <w:sz w:val="24"/>
          <w:szCs w:val="24"/>
        </w:rPr>
        <w:t>核心业务系统容灾系统要求交付文档：容灾系统需求分析报告、灾难恢复计划、容灾变更及维护记录、容灾系统恢复报告。</w:t>
      </w:r>
    </w:p>
    <w:p>
      <w:pPr>
        <w:spacing w:line="360" w:lineRule="auto"/>
        <w:ind w:firstLine="480" w:firstLineChars="200"/>
        <w:rPr>
          <w:rFonts w:hint="eastAsia" w:ascii="宋体" w:hAnsi="宋体"/>
          <w:sz w:val="24"/>
          <w:szCs w:val="24"/>
        </w:rPr>
      </w:pPr>
      <w:r>
        <w:rPr>
          <w:rFonts w:hint="eastAsia" w:ascii="宋体" w:hAnsi="宋体"/>
          <w:sz w:val="24"/>
          <w:szCs w:val="24"/>
        </w:rPr>
        <w:t>11.要求必须服从用户对网络与信息安全的各项管理规定和要求，按照有关规定签署《信息安全协议》。对因工作疏失出现的网络与信息安全责任事故，必须承担相应责任，接受惩处。</w:t>
      </w:r>
    </w:p>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62"/>
    <w:rsid w:val="00054506"/>
    <w:rsid w:val="0008081F"/>
    <w:rsid w:val="000820FA"/>
    <w:rsid w:val="000E7718"/>
    <w:rsid w:val="000F41B7"/>
    <w:rsid w:val="000F7326"/>
    <w:rsid w:val="00112A42"/>
    <w:rsid w:val="00137A2D"/>
    <w:rsid w:val="00177C2D"/>
    <w:rsid w:val="001B43A1"/>
    <w:rsid w:val="001E28F1"/>
    <w:rsid w:val="001F64E4"/>
    <w:rsid w:val="00205C90"/>
    <w:rsid w:val="002A69E2"/>
    <w:rsid w:val="002D1B1C"/>
    <w:rsid w:val="003123EF"/>
    <w:rsid w:val="0034052D"/>
    <w:rsid w:val="003A5FA0"/>
    <w:rsid w:val="003F6E00"/>
    <w:rsid w:val="004446E2"/>
    <w:rsid w:val="00457853"/>
    <w:rsid w:val="00493775"/>
    <w:rsid w:val="00495806"/>
    <w:rsid w:val="004A6F77"/>
    <w:rsid w:val="004C10E2"/>
    <w:rsid w:val="004D03E2"/>
    <w:rsid w:val="00514C38"/>
    <w:rsid w:val="005E3F11"/>
    <w:rsid w:val="00606C87"/>
    <w:rsid w:val="00755AF0"/>
    <w:rsid w:val="00782609"/>
    <w:rsid w:val="007F7D4F"/>
    <w:rsid w:val="0084684B"/>
    <w:rsid w:val="0087276E"/>
    <w:rsid w:val="008F5FC7"/>
    <w:rsid w:val="00927706"/>
    <w:rsid w:val="00942D9E"/>
    <w:rsid w:val="009F4B36"/>
    <w:rsid w:val="00A0157E"/>
    <w:rsid w:val="00A652B1"/>
    <w:rsid w:val="00AB1808"/>
    <w:rsid w:val="00AD0E82"/>
    <w:rsid w:val="00AD7BD8"/>
    <w:rsid w:val="00AF371A"/>
    <w:rsid w:val="00B13F73"/>
    <w:rsid w:val="00C1103C"/>
    <w:rsid w:val="00C36E4F"/>
    <w:rsid w:val="00C37986"/>
    <w:rsid w:val="00C50662"/>
    <w:rsid w:val="00CB0B3F"/>
    <w:rsid w:val="00D52E51"/>
    <w:rsid w:val="00D759D3"/>
    <w:rsid w:val="00DD1FB8"/>
    <w:rsid w:val="00E6360C"/>
    <w:rsid w:val="00E67A99"/>
    <w:rsid w:val="00F945D1"/>
    <w:rsid w:val="1CCF11F0"/>
    <w:rsid w:val="1D8E69E8"/>
    <w:rsid w:val="33397CC0"/>
    <w:rsid w:val="4F960B79"/>
    <w:rsid w:val="6A5212E6"/>
    <w:rsid w:val="779265B0"/>
    <w:rsid w:val="78283B13"/>
    <w:rsid w:val="7F82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spacing w:line="240" w:lineRule="auto"/>
      <w:jc w:val="left"/>
    </w:pPr>
    <w:rPr>
      <w:sz w:val="18"/>
      <w:szCs w:val="18"/>
    </w:rPr>
  </w:style>
  <w:style w:type="paragraph" w:styleId="3">
    <w:name w:val="header"/>
    <w:basedOn w:val="1"/>
    <w:link w:val="8"/>
    <w:qFormat/>
    <w:uiPriority w:val="0"/>
    <w:pP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qFormat/>
    <w:uiPriority w:val="22"/>
    <w:rPr>
      <w:b/>
      <w:bCs/>
    </w:rPr>
  </w:style>
  <w:style w:type="character" w:customStyle="1" w:styleId="8">
    <w:name w:val="页眉 字符"/>
    <w:link w:val="3"/>
    <w:qFormat/>
    <w:uiPriority w:val="0"/>
    <w:rPr>
      <w:kern w:val="2"/>
      <w:sz w:val="18"/>
      <w:szCs w:val="18"/>
    </w:rPr>
  </w:style>
  <w:style w:type="character" w:customStyle="1" w:styleId="9">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2935</Words>
  <Characters>3176</Characters>
  <Lines>23</Lines>
  <Paragraphs>6</Paragraphs>
  <TotalTime>19</TotalTime>
  <ScaleCrop>false</ScaleCrop>
  <LinksUpToDate>false</LinksUpToDate>
  <CharactersWithSpaces>3210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2024-08-28T01:07:00Z</dcterms:created>
  <dc:creator>Administrator</dc:creator>
  <cp:lastModifiedBy>lenovo</cp:lastModifiedBy>
  <dcterms:modified xsi:type="dcterms:W3CDTF">2025-11-17T09:28:54Z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8E061494E4EB48AE8DB1F103C5CC3AC1_11</vt:lpwstr>
  </property>
  <property fmtid="{D5CDD505-2E9C-101B-9397-08002B2CF9AE}" pid="4" name="KSOTemplateDocerSaveRecord">
    <vt:lpwstr>eyJoZGlkIjoiMjU0NzA3NzU0M2Y2YzEwNTFjMWFiYzdhZGM0YjE3OTQiLCJ1c2VySWQiOiIzNTc3Mjc5NjcifQ==</vt:lpwstr>
  </property>
</Properties>
</file>