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0" w:after="0" w:line="578" w:lineRule="auto"/>
        <w:jc w:val="center"/>
        <w:outlineLvl w:val="0"/>
        <w:rPr>
          <w:rFonts w:ascii="Times New Roman" w:hAnsi="Times New Roman" w:eastAsia="宋体" w:cs="Times New Roman"/>
          <w:b/>
          <w:bCs/>
          <w:kern w:val="44"/>
          <w:sz w:val="44"/>
          <w:szCs w:val="44"/>
          <w:lang w:val="en-US" w:eastAsia="zh-CN" w:bidi="ar-SA"/>
        </w:rPr>
      </w:pPr>
      <w:bookmarkStart w:id="0" w:name="_GoBack"/>
      <w:bookmarkEnd w:id="0"/>
      <w:r>
        <w:rPr>
          <w:rFonts w:hint="eastAsia" w:ascii="Times New Roman" w:hAnsi="Times New Roman" w:eastAsia="宋体" w:cs="Times New Roman"/>
          <w:b/>
          <w:bCs/>
          <w:kern w:val="44"/>
          <w:sz w:val="44"/>
          <w:szCs w:val="44"/>
          <w:lang w:val="en-US" w:eastAsia="zh-CN" w:bidi="ar-SA"/>
        </w:rPr>
        <w:t xml:space="preserve"> </w:t>
      </w:r>
      <w:r>
        <w:rPr>
          <w:rFonts w:ascii="Times New Roman" w:hAnsi="Times New Roman" w:eastAsia="宋体" w:cs="Times New Roman"/>
          <w:b/>
          <w:bCs/>
          <w:kern w:val="44"/>
          <w:sz w:val="44"/>
          <w:szCs w:val="44"/>
          <w:lang w:val="en-US" w:eastAsia="zh-CN" w:bidi="ar-SA"/>
        </w:rPr>
        <w:t>服务</w:t>
      </w:r>
      <w:r>
        <w:rPr>
          <w:rFonts w:hint="eastAsia" w:ascii="Times New Roman" w:hAnsi="Times New Roman" w:eastAsia="宋体" w:cs="Times New Roman"/>
          <w:b/>
          <w:bCs/>
          <w:kern w:val="44"/>
          <w:sz w:val="44"/>
          <w:szCs w:val="44"/>
          <w:lang w:val="en-US" w:eastAsia="zh-CN" w:bidi="ar-SA"/>
        </w:rPr>
        <w:t>内容</w:t>
      </w:r>
    </w:p>
    <w:p>
      <w:pPr>
        <w:spacing w:after="0" w:line="360" w:lineRule="auto"/>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1、维保服务范围</w:t>
      </w:r>
    </w:p>
    <w:p>
      <w:pPr>
        <w:spacing w:after="0" w:line="360" w:lineRule="auto"/>
        <w:ind w:firstLine="48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1）维保服务对象为福建省立医院病理科已采购的正在使用的PathQC病理质控与资料管理系统软件。</w:t>
      </w:r>
    </w:p>
    <w:p>
      <w:pPr>
        <w:spacing w:after="0" w:line="360" w:lineRule="auto"/>
        <w:ind w:firstLine="48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2）☆需要对病理科现有工作站点软件系统提供维护服务，仅限于不涉及到软件底层库结构的需求修改。科室现有站点情况如下：</w:t>
      </w:r>
    </w:p>
    <w:tbl>
      <w:tblPr>
        <w:tblStyle w:val="18"/>
        <w:tblW w:w="62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1" w:type="dxa"/>
            <w:vAlign w:val="center"/>
          </w:tcPr>
          <w:p>
            <w:pPr>
              <w:spacing w:after="0" w:line="360" w:lineRule="auto"/>
              <w:jc w:val="center"/>
              <w:rPr>
                <w:rFonts w:ascii="Times New Roman" w:hAnsi="Times New Roman" w:eastAsia="宋体" w:cs="Times New Roman"/>
                <w:b/>
                <w:bCs/>
                <w:sz w:val="21"/>
                <w:szCs w:val="21"/>
                <w14:ligatures w14:val="none"/>
              </w:rPr>
            </w:pPr>
            <w:r>
              <w:rPr>
                <w:rFonts w:hint="eastAsia" w:ascii="Times New Roman" w:hAnsi="Times New Roman" w:eastAsia="宋体" w:cs="Times New Roman"/>
                <w:b/>
                <w:bCs/>
                <w:sz w:val="21"/>
                <w:szCs w:val="21"/>
                <w14:ligatures w14:val="none"/>
              </w:rPr>
              <w:t>模块名称</w:t>
            </w:r>
          </w:p>
        </w:tc>
        <w:tc>
          <w:tcPr>
            <w:tcW w:w="2126" w:type="dxa"/>
            <w:vAlign w:val="center"/>
          </w:tcPr>
          <w:p>
            <w:pPr>
              <w:spacing w:after="0" w:line="360" w:lineRule="auto"/>
              <w:jc w:val="center"/>
              <w:rPr>
                <w:rFonts w:ascii="Times New Roman" w:hAnsi="Times New Roman" w:eastAsia="宋体" w:cs="Times New Roman"/>
                <w:b/>
                <w:bCs/>
                <w:sz w:val="21"/>
                <w:szCs w:val="21"/>
                <w14:ligatures w14:val="none"/>
              </w:rPr>
            </w:pPr>
            <w:r>
              <w:rPr>
                <w:rFonts w:hint="eastAsia" w:ascii="Times New Roman" w:hAnsi="Times New Roman" w:eastAsia="宋体" w:cs="Times New Roman"/>
                <w:b/>
                <w:bCs/>
                <w:sz w:val="21"/>
                <w:szCs w:val="21"/>
                <w14:ligatures w14: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1"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PathBPS取材工作站软件</w:t>
            </w:r>
          </w:p>
        </w:tc>
        <w:tc>
          <w:tcPr>
            <w:tcW w:w="2126"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1"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PathTBS-RPT综合报告工作站软件</w:t>
            </w:r>
          </w:p>
        </w:tc>
        <w:tc>
          <w:tcPr>
            <w:tcW w:w="2126"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1"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PathEPC包埋盒打号机接口模块</w:t>
            </w:r>
          </w:p>
        </w:tc>
        <w:tc>
          <w:tcPr>
            <w:tcW w:w="2126"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1"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PathOP门诊病人自助打印接口</w:t>
            </w:r>
          </w:p>
        </w:tc>
        <w:tc>
          <w:tcPr>
            <w:tcW w:w="2126"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1"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体检系统接口</w:t>
            </w:r>
          </w:p>
        </w:tc>
        <w:tc>
          <w:tcPr>
            <w:tcW w:w="2126"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1"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医嘱闭环接口</w:t>
            </w:r>
          </w:p>
        </w:tc>
        <w:tc>
          <w:tcPr>
            <w:tcW w:w="2126"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1"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CA系统接口</w:t>
            </w:r>
          </w:p>
        </w:tc>
        <w:tc>
          <w:tcPr>
            <w:tcW w:w="2126"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1"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Pdf报告上传CCA平台</w:t>
            </w:r>
          </w:p>
        </w:tc>
        <w:tc>
          <w:tcPr>
            <w:tcW w:w="2126"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1"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电子申请单调阅</w:t>
            </w:r>
          </w:p>
        </w:tc>
        <w:tc>
          <w:tcPr>
            <w:tcW w:w="2126"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1"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定制病案归档系统接口</w:t>
            </w:r>
          </w:p>
        </w:tc>
        <w:tc>
          <w:tcPr>
            <w:tcW w:w="2126"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1"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定制全国抗肿瘤药物临床应用监测数据上报接口</w:t>
            </w:r>
          </w:p>
        </w:tc>
        <w:tc>
          <w:tcPr>
            <w:tcW w:w="2126"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1"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住院病理报告PDF打印接口</w:t>
            </w:r>
          </w:p>
        </w:tc>
        <w:tc>
          <w:tcPr>
            <w:tcW w:w="2126"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111"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短信平台接口</w:t>
            </w:r>
          </w:p>
        </w:tc>
        <w:tc>
          <w:tcPr>
            <w:tcW w:w="2126" w:type="dxa"/>
            <w:vAlign w:val="center"/>
          </w:tcPr>
          <w:p>
            <w:pPr>
              <w:spacing w:after="0" w:line="36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1</w:t>
            </w:r>
          </w:p>
        </w:tc>
      </w:tr>
    </w:tbl>
    <w:p>
      <w:pPr>
        <w:spacing w:after="0" w:line="360" w:lineRule="auto"/>
        <w:jc w:val="both"/>
        <w:rPr>
          <w:rFonts w:ascii="Times New Roman" w:hAnsi="Times New Roman" w:eastAsia="宋体" w:cs="Times New Roman"/>
          <w:sz w:val="24"/>
          <w14:ligatures w14:val="none"/>
        </w:rPr>
      </w:pPr>
    </w:p>
    <w:p>
      <w:pPr>
        <w:spacing w:after="0" w:line="360" w:lineRule="auto"/>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2、软件升级与调整</w:t>
      </w:r>
    </w:p>
    <w:p>
      <w:pPr>
        <w:spacing w:after="0" w:line="360" w:lineRule="auto"/>
        <w:ind w:firstLine="48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1）维保期内，</w:t>
      </w:r>
      <w:r>
        <w:rPr>
          <w:rFonts w:ascii="Times New Roman" w:hAnsi="Times New Roman" w:eastAsia="宋体" w:cs="Times New Roman"/>
          <w:sz w:val="24"/>
          <w14:ligatures w14:val="none"/>
        </w:rPr>
        <w:t>对病理质控</w:t>
      </w:r>
      <w:r>
        <w:rPr>
          <w:rFonts w:hint="eastAsia" w:ascii="Times New Roman" w:hAnsi="Times New Roman" w:eastAsia="宋体" w:cs="Times New Roman"/>
          <w:sz w:val="24"/>
          <w14:ligatures w14:val="none"/>
        </w:rPr>
        <w:t>与资料</w:t>
      </w:r>
      <w:r>
        <w:rPr>
          <w:rFonts w:ascii="Times New Roman" w:hAnsi="Times New Roman" w:eastAsia="宋体" w:cs="Times New Roman"/>
          <w:sz w:val="24"/>
          <w14:ligatures w14:val="none"/>
        </w:rPr>
        <w:t>管理系统的错误进行免费的修改完善。</w:t>
      </w:r>
      <w:r>
        <w:rPr>
          <w:rFonts w:hint="eastAsia" w:ascii="Times New Roman" w:hAnsi="Times New Roman" w:eastAsia="宋体" w:cs="Times New Roman"/>
          <w:sz w:val="24"/>
          <w14:ligatures w14:val="none"/>
        </w:rPr>
        <w:t>对于一般性的软件问题，应在</w:t>
      </w:r>
      <w:r>
        <w:rPr>
          <w:rFonts w:ascii="Times New Roman" w:hAnsi="Times New Roman" w:eastAsia="宋体" w:cs="Times New Roman"/>
          <w:sz w:val="24"/>
          <w14:ligatures w14:val="none"/>
        </w:rPr>
        <w:t>10</w:t>
      </w:r>
      <w:r>
        <w:rPr>
          <w:rFonts w:hint="eastAsia" w:ascii="Times New Roman" w:hAnsi="Times New Roman" w:eastAsia="宋体" w:cs="Times New Roman"/>
          <w:sz w:val="24"/>
          <w14:ligatures w14:val="none"/>
        </w:rPr>
        <w:t>个工作日内解决；对于特殊性的软件问题，在取得院方谅解情况下，方可适当延长解决期限；</w:t>
      </w:r>
    </w:p>
    <w:p>
      <w:pPr>
        <w:spacing w:after="0" w:line="360" w:lineRule="auto"/>
        <w:ind w:firstLine="48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2）☆维保期内，</w:t>
      </w:r>
      <w:r>
        <w:rPr>
          <w:rFonts w:ascii="Times New Roman" w:hAnsi="Times New Roman" w:eastAsia="宋体" w:cs="Times New Roman"/>
          <w:sz w:val="24"/>
          <w14:ligatures w14:val="none"/>
        </w:rPr>
        <w:t>对病理质控</w:t>
      </w:r>
      <w:r>
        <w:rPr>
          <w:rFonts w:hint="eastAsia" w:ascii="Times New Roman" w:hAnsi="Times New Roman" w:eastAsia="宋体" w:cs="Times New Roman"/>
          <w:sz w:val="24"/>
          <w14:ligatures w14:val="none"/>
        </w:rPr>
        <w:t>与资料</w:t>
      </w:r>
      <w:r>
        <w:rPr>
          <w:rFonts w:ascii="Times New Roman" w:hAnsi="Times New Roman" w:eastAsia="宋体" w:cs="Times New Roman"/>
          <w:sz w:val="24"/>
          <w14:ligatures w14:val="none"/>
        </w:rPr>
        <w:t>管理系统提供</w:t>
      </w:r>
      <w:r>
        <w:rPr>
          <w:rFonts w:hint="eastAsia" w:ascii="Times New Roman" w:hAnsi="Times New Roman" w:eastAsia="宋体" w:cs="Times New Roman"/>
          <w:sz w:val="24"/>
          <w14:ligatures w14:val="none"/>
        </w:rPr>
        <w:t>同一大版本内</w:t>
      </w:r>
      <w:r>
        <w:rPr>
          <w:rFonts w:ascii="Times New Roman" w:hAnsi="Times New Roman" w:eastAsia="宋体" w:cs="Times New Roman"/>
          <w:sz w:val="24"/>
          <w14:ligatures w14:val="none"/>
        </w:rPr>
        <w:t>免费的升级和调整服务，对病理科提出的合理要求，需要尽量满足。超出原有病理质控管理系统软件新增功能时，需切合科室需求制定方案，并按行业标准评估工作量，费用不得超过行业同等价格。</w:t>
      </w:r>
    </w:p>
    <w:p>
      <w:pPr>
        <w:spacing w:after="0" w:line="360" w:lineRule="auto"/>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3、安全管理</w:t>
      </w:r>
    </w:p>
    <w:p>
      <w:pPr>
        <w:spacing w:after="0" w:line="360" w:lineRule="auto"/>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1）应配合医院的安全管理措施，建立并维护病理系统的安全机制；</w:t>
      </w:r>
    </w:p>
    <w:p>
      <w:pPr>
        <w:spacing w:after="0" w:line="360" w:lineRule="auto"/>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2）需提供所有病理系统的安装程序和安装说明，提供系统数据备份和恢复说明；</w:t>
      </w:r>
    </w:p>
    <w:p>
      <w:pPr>
        <w:spacing w:after="0" w:line="360" w:lineRule="auto"/>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3）需根据我院病理科的要求进行权限设置，并根据要求调整相关人员密码权限；</w:t>
      </w:r>
    </w:p>
    <w:p>
      <w:pPr>
        <w:spacing w:after="0" w:line="360" w:lineRule="auto"/>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4）维护服务响应时间：系统维护响应时间为1小时，在电话支持无法确定或无法解决问题时，公司维修工程师需在48小时内到达现场维修；</w:t>
      </w:r>
    </w:p>
    <w:p>
      <w:pPr>
        <w:spacing w:after="0" w:line="360" w:lineRule="auto"/>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5）一般性故障解决时间为半个工作日，如遇特殊故障，应尽快予以解决。</w:t>
      </w:r>
    </w:p>
    <w:p>
      <w:pPr>
        <w:spacing w:after="0" w:line="360" w:lineRule="auto"/>
        <w:ind w:firstLine="480" w:firstLineChars="200"/>
        <w:jc w:val="both"/>
        <w:rPr>
          <w:rFonts w:ascii="Times New Roman" w:hAnsi="Times New Roman" w:eastAsia="宋体" w:cs="Times New Roman"/>
          <w:sz w:val="24"/>
          <w14:ligatures w14:val="none"/>
        </w:rPr>
      </w:pPr>
    </w:p>
    <w:p>
      <w:pPr>
        <w:spacing w:after="0" w:line="360" w:lineRule="auto"/>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4、技术培训</w:t>
      </w:r>
    </w:p>
    <w:p>
      <w:pPr>
        <w:spacing w:after="0" w:line="360" w:lineRule="auto"/>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1）维保期内需要免费提供技术培训服务，培训对象为院方病理科日常操作人员和信息科的日常技术人员。</w:t>
      </w:r>
    </w:p>
    <w:p>
      <w:pPr>
        <w:spacing w:after="0" w:line="360" w:lineRule="auto"/>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2）需提供病理系统软件的中文使用手册。</w:t>
      </w:r>
    </w:p>
    <w:p>
      <w:pPr>
        <w:spacing w:after="0" w:line="360" w:lineRule="auto"/>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5、定期巡访</w:t>
      </w:r>
    </w:p>
    <w:p>
      <w:pPr>
        <w:spacing w:after="0" w:line="360" w:lineRule="auto"/>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为了更好的服务于用户，成交供应商需委派专业维修工程师平均每季度到医院现场做巡检一次，承担用户系统监控、完善工作，并能处理病理科反映的问题，解决用户病理质控管理系统遇到的各种软件方面的问题，最大限度保证系统正常高效运行。</w:t>
      </w:r>
    </w:p>
    <w:p>
      <w:pPr>
        <w:spacing w:after="0" w:line="360" w:lineRule="auto"/>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2）成交供应商进行定期现场巡检时，对采购人应用软件的软硬件环境进行检查，发现系统稳定运行的隐患因素并及时排除。同时向用户出具系统巡检报告，内容包含巡检范围、结果及巡检建议。</w:t>
      </w:r>
    </w:p>
    <w:p>
      <w:pPr>
        <w:spacing w:after="0" w:line="360" w:lineRule="auto"/>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3）对系统出现的异常现象，需要建立文字性的记录，采取相应的技术措施。</w:t>
      </w:r>
    </w:p>
    <w:p>
      <w:pPr>
        <w:spacing w:after="0" w:line="360" w:lineRule="auto"/>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6、☆其它要求</w:t>
      </w:r>
    </w:p>
    <w:p>
      <w:pPr>
        <w:spacing w:after="0" w:line="360" w:lineRule="auto"/>
        <w:ind w:firstLine="480" w:firstLineChars="200"/>
        <w:jc w:val="both"/>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1）为保障维保服务连贯性，需提供由科室现行病理系统出具的针对本项目的《维保项目授权书》，且承诺服务工程师为原厂工程师；</w:t>
      </w:r>
    </w:p>
    <w:p>
      <w:pPr>
        <w:spacing w:after="0" w:line="360" w:lineRule="auto"/>
        <w:ind w:firstLine="480" w:firstLineChars="200"/>
        <w:jc w:val="both"/>
        <w:rPr>
          <w:rFonts w:hint="eastAsia" w:ascii="Times New Roman" w:hAnsi="Times New Roman" w:eastAsia="宋体" w:cs="Times New Roman"/>
          <w:sz w:val="24"/>
          <w:lang w:eastAsia="zh-CN"/>
          <w14:ligatures w14:val="none"/>
        </w:rPr>
      </w:pPr>
      <w:r>
        <w:rPr>
          <w:rFonts w:hint="eastAsia" w:ascii="Times New Roman" w:hAnsi="Times New Roman" w:eastAsia="宋体" w:cs="Times New Roman"/>
          <w:sz w:val="24"/>
          <w14:ligatures w14:val="none"/>
        </w:rPr>
        <w:t>2）为保障维保服务质量，服务工程师需具备至少3个以上三甲医院病理系统维护经验，需提供用户签字的客户服务单</w:t>
      </w:r>
      <w:r>
        <w:rPr>
          <w:rFonts w:hint="eastAsia" w:ascii="Times New Roman" w:hAnsi="Times New Roman" w:eastAsia="宋体" w:cs="Times New Roman"/>
          <w:sz w:val="24"/>
          <w:lang w:eastAsia="zh-CN"/>
          <w14:ligatures w14:val="none"/>
        </w:rPr>
        <w:t>。</w:t>
      </w:r>
    </w:p>
    <w:p/>
    <w:sectPr>
      <w:pgSz w:w="11906" w:h="16838"/>
      <w:pgMar w:top="156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C5E"/>
    <w:rsid w:val="00780DB8"/>
    <w:rsid w:val="00A066E6"/>
    <w:rsid w:val="00C37986"/>
    <w:rsid w:val="00F24C5E"/>
    <w:rsid w:val="24BC54EC"/>
    <w:rsid w:val="25BD0960"/>
    <w:rsid w:val="28C83E24"/>
    <w:rsid w:val="315A2315"/>
    <w:rsid w:val="46BD6980"/>
    <w:rsid w:val="487C2259"/>
    <w:rsid w:val="4B4A5CF7"/>
    <w:rsid w:val="5E29639C"/>
    <w:rsid w:val="70117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7"/>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6"/>
    <w:link w:val="5"/>
    <w:semiHidden/>
    <w:qFormat/>
    <w:uiPriority w:val="9"/>
    <w:rPr>
      <w:rFonts w:cstheme="majorBidi"/>
      <w:color w:val="2F5597" w:themeColor="accent1" w:themeShade="BF"/>
      <w:sz w:val="28"/>
      <w:szCs w:val="28"/>
    </w:rPr>
  </w:style>
  <w:style w:type="character" w:customStyle="1" w:styleId="23">
    <w:name w:val="标题 5 字符"/>
    <w:basedOn w:val="16"/>
    <w:link w:val="6"/>
    <w:semiHidden/>
    <w:qFormat/>
    <w:uiPriority w:val="9"/>
    <w:rPr>
      <w:rFonts w:cstheme="majorBidi"/>
      <w:color w:val="2F5597" w:themeColor="accent1" w:themeShade="BF"/>
      <w:sz w:val="24"/>
    </w:rPr>
  </w:style>
  <w:style w:type="character" w:customStyle="1" w:styleId="24">
    <w:name w:val="标题 6 字符"/>
    <w:basedOn w:val="16"/>
    <w:link w:val="7"/>
    <w:semiHidden/>
    <w:qFormat/>
    <w:uiPriority w:val="9"/>
    <w:rPr>
      <w:rFonts w:cstheme="majorBidi"/>
      <w:b/>
      <w:bCs/>
      <w:color w:val="2F5597" w:themeColor="accent1" w:themeShade="BF"/>
    </w:rPr>
  </w:style>
  <w:style w:type="character" w:customStyle="1" w:styleId="25">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6"/>
    <w:link w:val="34"/>
    <w:qFormat/>
    <w:uiPriority w:val="30"/>
    <w:rPr>
      <w:i/>
      <w:iCs/>
      <w:color w:val="2F5597" w:themeColor="accent1" w:themeShade="BF"/>
    </w:rPr>
  </w:style>
  <w:style w:type="character" w:customStyle="1" w:styleId="36">
    <w:name w:val="Intense Reference"/>
    <w:basedOn w:val="16"/>
    <w:qFormat/>
    <w:uiPriority w:val="32"/>
    <w:rPr>
      <w:b/>
      <w:bCs/>
      <w:smallCaps/>
      <w:color w:val="2F5597" w:themeColor="accent1" w:themeShade="BF"/>
      <w:spacing w:val="5"/>
    </w:rPr>
  </w:style>
  <w:style w:type="character" w:customStyle="1" w:styleId="37">
    <w:name w:val="页眉 字符"/>
    <w:basedOn w:val="16"/>
    <w:link w:val="12"/>
    <w:qFormat/>
    <w:uiPriority w:val="99"/>
    <w:rPr>
      <w:sz w:val="18"/>
      <w:szCs w:val="18"/>
    </w:rPr>
  </w:style>
  <w:style w:type="character" w:customStyle="1" w:styleId="38">
    <w:name w:val="页脚 字符"/>
    <w:basedOn w:val="16"/>
    <w:link w:val="11"/>
    <w:qFormat/>
    <w:uiPriority w:val="99"/>
    <w:rPr>
      <w:sz w:val="18"/>
      <w:szCs w:val="18"/>
    </w:rPr>
  </w:style>
  <w:style w:type="paragraph" w:customStyle="1" w:styleId="39">
    <w:name w:val="null3"/>
    <w:hidden/>
    <w:qFormat/>
    <w:uiPriority w:val="0"/>
    <w:pPr>
      <w:spacing w:after="0" w:line="240" w:lineRule="auto"/>
    </w:pPr>
    <w:rPr>
      <w:rFonts w:hint="eastAsia" w:ascii="Calibri" w:hAnsi="Calibri" w:eastAsia="宋体" w:cs="黑体"/>
      <w:kern w:val="0"/>
      <w:sz w:val="20"/>
      <w:szCs w:val="20"/>
      <w:lang w:val="en-US" w:eastAsia="zh-CN" w:bidi="ar-S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2011</Words>
  <Characters>2034</Characters>
  <Lines>14</Lines>
  <Paragraphs>3</Paragraphs>
  <TotalTime>0</TotalTime>
  <ScaleCrop>false</ScaleCrop>
  <LinksUpToDate>false</LinksUpToDate>
  <CharactersWithSpaces>2035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2025-11-11T07:20:00Z</dcterms:created>
  <dc:creator>Administrator</dc:creator>
  <cp:lastModifiedBy>lenovo</cp:lastModifiedBy>
  <dcterms:modified xsi:type="dcterms:W3CDTF">2025-12-03T03:37:36Z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eyJoZGlkIjoiMjU0NzA3NzU0M2Y2YzEwNTFjMWFiYzdhZGM0YjE3OTQiLCJ1c2VySWQiOiIzNTc3Mjc5NjcifQ==</vt:lpwstr>
  </property>
  <property fmtid="{D5CDD505-2E9C-101B-9397-08002B2CF9AE}" pid="4" name="ICV">
    <vt:lpwstr>427FAE7B56DC4D76AA0796A06D319B0F_12</vt:lpwstr>
  </property>
</Properties>
</file>