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b/>
          <w:bCs/>
          <w:color w:val="auto"/>
        </w:rPr>
      </w:pPr>
      <w:bookmarkStart w:id="0" w:name="_GoBack"/>
      <w:bookmarkEnd w:id="0"/>
      <w:r>
        <w:rPr>
          <w:b/>
          <w:bCs/>
          <w:color w:val="auto"/>
        </w:rPr>
        <w:t>服务内容</w:t>
      </w:r>
    </w:p>
    <w:p>
      <w:pPr>
        <w:pStyle w:val="39"/>
        <w:jc w:val="both"/>
      </w:pPr>
      <w:r>
        <w:rPr>
          <w:rFonts w:ascii="仿宋_GB2312" w:hAnsi="仿宋_GB2312" w:eastAsia="仿宋_GB2312" w:cs="仿宋_GB2312"/>
          <w:sz w:val="24"/>
        </w:rPr>
        <w:t>（一）预防性维护</w:t>
      </w:r>
    </w:p>
    <w:p>
      <w:pPr>
        <w:pStyle w:val="39"/>
        <w:ind w:firstLine="480"/>
        <w:jc w:val="left"/>
      </w:pPr>
      <w:r>
        <w:rPr>
          <w:rFonts w:ascii="仿宋_GB2312" w:hAnsi="仿宋_GB2312" w:eastAsia="仿宋_GB2312" w:cs="仿宋_GB2312"/>
          <w:sz w:val="24"/>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pPr>
        <w:pStyle w:val="39"/>
        <w:ind w:firstLine="480"/>
        <w:jc w:val="left"/>
      </w:pPr>
      <w:r>
        <w:rPr>
          <w:rFonts w:ascii="仿宋_GB2312" w:hAnsi="仿宋_GB2312" w:eastAsia="仿宋_GB2312" w:cs="仿宋_GB2312"/>
          <w:sz w:val="24"/>
        </w:rPr>
        <w:t>2、性能优化：至少每季度进行一次系统性能数据分析，识别并解决性能瓶颈，调整系统配置，优化数据库查询，提升系统性能。根据实际情况评估是否需要定期重启服务或服务器，形成记录。</w:t>
      </w:r>
    </w:p>
    <w:p>
      <w:pPr>
        <w:pStyle w:val="39"/>
        <w:jc w:val="left"/>
        <w:rPr>
          <w:b w:val="0"/>
          <w:bCs/>
        </w:rPr>
      </w:pPr>
      <w:r>
        <w:rPr>
          <w:rFonts w:ascii="仿宋_GB2312" w:hAnsi="仿宋_GB2312" w:eastAsia="仿宋_GB2312" w:cs="仿宋_GB2312"/>
          <w:b/>
        </w:rPr>
        <w:t xml:space="preserve"> </w:t>
      </w:r>
      <w:r>
        <w:rPr>
          <w:rFonts w:ascii="仿宋_GB2312" w:hAnsi="仿宋_GB2312" w:eastAsia="仿宋_GB2312" w:cs="仿宋_GB2312"/>
          <w:b w:val="0"/>
          <w:bCs/>
        </w:rPr>
        <w:t xml:space="preserve"> </w:t>
      </w:r>
      <w:r>
        <w:rPr>
          <w:rFonts w:ascii="仿宋_GB2312" w:hAnsi="仿宋_GB2312" w:eastAsia="仿宋_GB2312" w:cs="仿宋_GB2312"/>
          <w:b w:val="0"/>
          <w:bCs/>
          <w:sz w:val="24"/>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pPr>
        <w:pStyle w:val="39"/>
        <w:jc w:val="both"/>
        <w:rPr>
          <w:b w:val="0"/>
          <w:bCs/>
        </w:rPr>
      </w:pPr>
      <w:r>
        <w:rPr>
          <w:rFonts w:ascii="仿宋_GB2312" w:hAnsi="仿宋_GB2312" w:eastAsia="仿宋_GB2312" w:cs="仿宋_GB2312"/>
          <w:b w:val="0"/>
          <w:bCs/>
          <w:sz w:val="24"/>
        </w:rPr>
        <w:t>（二）故障响应与故障处理</w:t>
      </w:r>
    </w:p>
    <w:p>
      <w:pPr>
        <w:pStyle w:val="39"/>
        <w:ind w:firstLine="480"/>
        <w:jc w:val="left"/>
      </w:pPr>
      <w:r>
        <w:rPr>
          <w:rFonts w:ascii="仿宋_GB2312" w:hAnsi="仿宋_GB2312" w:eastAsia="仿宋_GB2312" w:cs="仿宋_GB2312"/>
          <w:sz w:val="24"/>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pPr>
        <w:pStyle w:val="39"/>
        <w:ind w:firstLine="480"/>
        <w:jc w:val="left"/>
      </w:pPr>
      <w:r>
        <w:rPr>
          <w:rFonts w:ascii="仿宋_GB2312" w:hAnsi="仿宋_GB2312" w:eastAsia="仿宋_GB2312" w:cs="仿宋_GB2312"/>
          <w:sz w:val="24"/>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pPr>
        <w:pStyle w:val="39"/>
        <w:ind w:firstLine="480"/>
        <w:jc w:val="left"/>
      </w:pPr>
      <w:r>
        <w:rPr>
          <w:rFonts w:ascii="仿宋_GB2312" w:hAnsi="仿宋_GB2312" w:eastAsia="仿宋_GB2312" w:cs="仿宋_GB2312"/>
          <w:sz w:val="24"/>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pPr>
        <w:pStyle w:val="39"/>
        <w:ind w:firstLine="480"/>
        <w:jc w:val="left"/>
      </w:pPr>
      <w:r>
        <w:rPr>
          <w:rFonts w:ascii="仿宋_GB2312" w:hAnsi="仿宋_GB2312" w:eastAsia="仿宋_GB2312" w:cs="仿宋_GB2312"/>
          <w:sz w:val="24"/>
        </w:rPr>
        <w:t>4、应急准备与灾难恢复：制定和测试灾难恢复计划，确保在严重故障时能够快速恢复服务；提交切实可行的应急方案予采购人，建立应急响应团队和资源，以应对突发事件。</w:t>
      </w:r>
    </w:p>
    <w:p>
      <w:pPr>
        <w:pStyle w:val="39"/>
        <w:ind w:firstLine="480"/>
        <w:jc w:val="left"/>
      </w:pPr>
      <w:r>
        <w:rPr>
          <w:rFonts w:ascii="仿宋_GB2312" w:hAnsi="仿宋_GB2312" w:eastAsia="仿宋_GB2312" w:cs="仿宋_GB2312"/>
          <w:sz w:val="24"/>
        </w:rPr>
        <w:t>5、做好医院运维管理软件信息系统的故障分类工作及故障处理知识库整理工作，根据实际情况定期更新，但每半年至少更新一次。</w:t>
      </w:r>
    </w:p>
    <w:p>
      <w:pPr>
        <w:pStyle w:val="39"/>
        <w:jc w:val="left"/>
      </w:pPr>
      <w:r>
        <w:rPr>
          <w:rFonts w:ascii="仿宋_GB2312" w:hAnsi="仿宋_GB2312" w:eastAsia="仿宋_GB2312" w:cs="仿宋_GB2312"/>
          <w:sz w:val="24"/>
        </w:rPr>
        <w:t>（三）需求管理</w:t>
      </w:r>
    </w:p>
    <w:p>
      <w:pPr>
        <w:pStyle w:val="39"/>
        <w:ind w:firstLine="480"/>
        <w:jc w:val="left"/>
      </w:pPr>
      <w:r>
        <w:rPr>
          <w:rFonts w:ascii="仿宋_GB2312" w:hAnsi="仿宋_GB2312" w:eastAsia="仿宋_GB2312" w:cs="仿宋_GB2312"/>
          <w:sz w:val="24"/>
        </w:rPr>
        <w:t>1、系统BUG处理：紧急BUG立即修改,根据具体影响范围及紧急程度、是否影响使用等与采购人确认修改完成时限，原则上不超过3个月。</w:t>
      </w:r>
    </w:p>
    <w:p>
      <w:pPr>
        <w:pStyle w:val="39"/>
        <w:ind w:firstLine="480"/>
        <w:jc w:val="left"/>
      </w:pPr>
      <w:r>
        <w:rPr>
          <w:rFonts w:ascii="仿宋_GB2312" w:hAnsi="仿宋_GB2312" w:eastAsia="仿宋_GB2312" w:cs="仿宋_GB2312"/>
          <w:sz w:val="24"/>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39"/>
        <w:ind w:firstLine="480"/>
        <w:jc w:val="left"/>
      </w:pPr>
      <w:r>
        <w:rPr>
          <w:rFonts w:ascii="仿宋_GB2312" w:hAnsi="仿宋_GB2312" w:eastAsia="仿宋_GB2312" w:cs="仿宋_GB2312"/>
          <w:sz w:val="24"/>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pPr>
        <w:pStyle w:val="39"/>
        <w:jc w:val="left"/>
      </w:pPr>
      <w:r>
        <w:rPr>
          <w:rFonts w:ascii="仿宋_GB2312" w:hAnsi="仿宋_GB2312" w:eastAsia="仿宋_GB2312" w:cs="仿宋_GB2312"/>
          <w:sz w:val="24"/>
        </w:rPr>
        <w:t>（四）安全维护：配合医院定期更新系统安全补丁和防病毒软件，配合网络安全管理员实施网络安全策略，如防火墙、VPN、入侵检测系统等，</w:t>
      </w:r>
      <w:r>
        <w:rPr>
          <w:rFonts w:ascii="仿宋_GB2312" w:hAnsi="仿宋_GB2312" w:eastAsia="仿宋_GB2312" w:cs="仿宋_GB2312"/>
          <w:sz w:val="24"/>
          <w:shd w:val="clear" w:fill="FFFFFF"/>
        </w:rPr>
        <w:t>防范网络攻击和数据泄露</w:t>
      </w:r>
      <w:r>
        <w:rPr>
          <w:rFonts w:ascii="仿宋_GB2312" w:hAnsi="仿宋_GB2312" w:eastAsia="仿宋_GB2312" w:cs="仿宋_GB2312"/>
          <w:sz w:val="24"/>
        </w:rPr>
        <w:t>。监控和防止未授权访问，确保系统安全。定期检查系统漏洞并及时修补</w:t>
      </w:r>
      <w:r>
        <w:rPr>
          <w:rFonts w:ascii="仿宋_GB2312" w:hAnsi="仿宋_GB2312" w:eastAsia="仿宋_GB2312" w:cs="仿宋_GB2312"/>
          <w:sz w:val="24"/>
          <w:shd w:val="clear" w:fill="FFFFFF"/>
        </w:rPr>
        <w:t>，实施网络安全策略等。</w:t>
      </w:r>
    </w:p>
    <w:p>
      <w:pPr>
        <w:pStyle w:val="39"/>
        <w:jc w:val="left"/>
      </w:pPr>
      <w:r>
        <w:rPr>
          <w:rFonts w:ascii="仿宋_GB2312" w:hAnsi="仿宋_GB2312" w:eastAsia="仿宋_GB2312" w:cs="仿宋_GB2312"/>
          <w:sz w:val="24"/>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pPr>
        <w:pStyle w:val="39"/>
        <w:jc w:val="left"/>
      </w:pPr>
      <w:r>
        <w:rPr>
          <w:rFonts w:ascii="仿宋_GB2312" w:hAnsi="仿宋_GB2312" w:eastAsia="仿宋_GB2312" w:cs="仿宋_GB2312"/>
          <w:sz w:val="24"/>
        </w:rPr>
        <w:t>（六）文档管理：做好日常故障处理文档、月度巡检报告、重大故障处理文档（若有）、常见问题文档、系统升级记录（若有）等维护文档的管理，每季度提交给采购人。</w:t>
      </w:r>
    </w:p>
    <w:p>
      <w:pPr>
        <w:pStyle w:val="39"/>
        <w:jc w:val="left"/>
      </w:pPr>
      <w:r>
        <w:rPr>
          <w:rFonts w:ascii="仿宋_GB2312" w:hAnsi="仿宋_GB2312" w:eastAsia="仿宋_GB2312" w:cs="仿宋_GB2312"/>
          <w:sz w:val="24"/>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39"/>
        <w:jc w:val="left"/>
      </w:pPr>
      <w:r>
        <w:rPr>
          <w:rFonts w:ascii="仿宋_GB2312" w:hAnsi="仿宋_GB2312" w:eastAsia="仿宋_GB2312" w:cs="仿宋_GB2312"/>
          <w:sz w:val="24"/>
        </w:rPr>
        <w:t>（八）提供一年维护服务。</w:t>
      </w:r>
    </w:p>
    <w:p>
      <w:pPr>
        <w:pStyle w:val="39"/>
        <w:jc w:val="both"/>
      </w:pPr>
      <w:r>
        <w:rPr>
          <w:rFonts w:ascii="仿宋_GB2312" w:hAnsi="仿宋_GB2312" w:eastAsia="仿宋_GB2312" w:cs="仿宋_GB2312"/>
          <w:sz w:val="24"/>
          <w:shd w:val="clear" w:fill="FFFFFF"/>
        </w:rPr>
        <w:t>（九）安全与保密协议：根据采购人要求签订安全与保密协议，</w:t>
      </w:r>
      <w:r>
        <w:rPr>
          <w:rFonts w:ascii="仿宋_GB2312" w:hAnsi="仿宋_GB2312" w:eastAsia="仿宋_GB2312" w:cs="仿宋_GB2312"/>
          <w:sz w:val="24"/>
        </w:rPr>
        <w:t>所涉及的保密信息为所有采购人提供给服务供应商的信息资料。成交供应商在履行职责中知悉的国家秘密、商业秘密医院重要数据信息和个人信息应严格保密，不得泄露、出售或者非法向他人提供。成交供应商须严格遵守安全管理规定和管理办法，合理、规范、安全地使用计算机、网络、数据和信息资源。同时运维服务人员亦须签订个人安全保密协议。</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147E342C"/>
    <w:rsid w:val="155F416A"/>
    <w:rsid w:val="1F9553C8"/>
    <w:rsid w:val="24BC54EC"/>
    <w:rsid w:val="28C83E24"/>
    <w:rsid w:val="2C4002BA"/>
    <w:rsid w:val="315A2315"/>
    <w:rsid w:val="35E2700F"/>
    <w:rsid w:val="46BD6980"/>
    <w:rsid w:val="487C2259"/>
    <w:rsid w:val="4B4A5CF7"/>
    <w:rsid w:val="51C1202B"/>
    <w:rsid w:val="5E29639C"/>
    <w:rsid w:val="7011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rPr>
  </w:style>
  <w:style w:type="character" w:customStyle="1" w:styleId="24">
    <w:name w:val="标题 6 字符"/>
    <w:basedOn w:val="16"/>
    <w:link w:val="7"/>
    <w:semiHidden/>
    <w:qFormat/>
    <w:uiPriority w:val="9"/>
    <w:rPr>
      <w:rFonts w:cstheme="majorBidi"/>
      <w:b/>
      <w:bCs/>
      <w:color w:val="2F5597"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 w:type="paragraph" w:customStyle="1" w:styleId="39">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1986</Words>
  <Characters>1996</Characters>
  <Lines>14</Lines>
  <Paragraphs>3</Paragraphs>
  <TotalTime>0</TotalTime>
  <ScaleCrop>false</ScaleCrop>
  <LinksUpToDate>false</LinksUpToDate>
  <CharactersWithSpaces>1997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2025-12-03T07:53:58Z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