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宋体"/>
          <w:color w:val="auto"/>
          <w:kern w:val="0"/>
          <w:highlight w:val="none"/>
          <w:lang w:val="en-US" w:eastAsia="zh-CN"/>
        </w:rPr>
      </w:pPr>
      <w:bookmarkStart w:id="0" w:name="_GoBack"/>
      <w:bookmarkEnd w:id="0"/>
      <w:r>
        <w:rPr>
          <w:rFonts w:hint="eastAsia" w:cs="宋体"/>
          <w:color w:val="auto"/>
          <w:highlight w:val="none"/>
          <w:lang w:eastAsia="zh-CN"/>
        </w:rPr>
        <w:t>服务内容</w:t>
      </w:r>
    </w:p>
    <w:tbl>
      <w:tblPr>
        <w:tblStyle w:val="17"/>
        <w:tblW w:w="9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94"/>
        <w:gridCol w:w="6952"/>
        <w:gridCol w:w="629"/>
        <w:gridCol w:w="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设备参数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LED显示屏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1、像素构成：SMD表贴三合一；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2、像素间距≤2.5mm，模组尺寸320*160mm，显示屏尺寸：宽10.24m，高2.08m（该尺寸为安装现场实际测量尺寸，最终以现场实测为准）；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3、像素密度≥160000点/㎡；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4、色温≥3000K-15000K可调，亮度≥4000nits。亮度均匀性≥97%，模组整体平衡度≤0.12mm，刷新率≥3840Hz，换帧频率50&amp;60Hz；</w:t>
            </w:r>
          </w:p>
          <w:p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5、对比度≥5000:1，灰度等级≥16bit,色域覆盖率≥100%；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21.3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视频接收卡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1、单卡最大带载分辨率 ≥512×512@60Hz；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2、采用≥12个HUB75E接口进行通讯，最多支持24组RGB并行数据；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3、可配合支持3D功能的独立主控，在软件或独立主控的操作面板上开启3D功能，并设置3D参数，使画面显示3D效果；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视频处理器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1、输入接口包括≥1路HDMI2.0+LOOP,≥2路HDMI1.3，≥1路USB3.0，支持选配≥1路3G-SDI（IN+LOOP），最大支持4096*2160@60HZ信号输入；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2、视频输出支持≥8个千兆网口输出，≥1路10G-OPT光口，最大带载高达520万像素，最宽支持10240,最高8192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3、最大可支持≥6个2K图层或≥1个4K图层+2个2K图层，全部图层大小和位置可单独调节。4K接口输入2K图层，按2K图层计算图层资源；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4、集成发送卡和视频处理器功能，连线更少，设备集成度更高，稳定性兼容性大大提升；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5、支持U盘即插即播功能，最大支持4K级（3840*2160@60fps）图片和视频的流畅播放，播放列表计切换效果支持自定义编排，最多支持20余种图片切换特效；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全频音响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1、类型：柱形，音柱扬声器；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2、频响范围(-6dB)：120Hz--16kHz；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3、连续功率：≥200W ；峰值功率：≥800W；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4、灵敏度：≥94dB；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5、最大声压级(1 m)：≥129dB；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6、阻抗：8Ω 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7、水平指向角度：≥100°；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8、垂直指向角度：≥40°；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9、扬声器单元：采用多只全频单元（总单元数不少于4只），单元磁路系统应具备高磁通量密度；音箱设计需具备良好的散热性能，确保长时间连续工作稳定。；      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数字功放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1、设备类型：ClassD数字功放，SMPS电源，支持≥2通路；机箱坚固，具备良好的散热性能；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2、设备电源：100-240VAC 50/60HZ；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3、额定输出功率：2x400W@4Ω，2x200W@8Ω，2x100W@16Ω；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4、信噪比:≥90dB：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5、最小负载阻抗：≤4Ω；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6、阻尼系数：&gt;200；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7、换能效率：≥80%；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8、频率响应范围：20Hz至20kHz；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9、DSP：48kHz, 24bit DSP处理器处理，支持拓展动态范围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物联中控系统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采用标准机架式或壁挂式安装，全金属结构，具备良好的散热与电磁屏蔽性能；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具备本地及远程控制功能，支持移动端（APP/微信小程序）及PC端（Web界面）实时监控设备运行参数与状态信息；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支持多台设备级联或集中管理，便于后期扩展；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具备不少于8路独立可控的电源输出接口，单路最大负载不低于10A，总负载能力满足显示屏及配套设备供电需求；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具备不少于2个网络通信接口（RJ45），用于联网及与第三方系统对接；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具备不少于4个可编程控制接口（如RS232/RS485/IO等），用于控制周边设备（如音频处理器、投影机等）；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可选配4G/5G无线通信模块（根据现场网络条件确定），实现远程无线控制；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设备应具备状态指示灯或显示屏，便于现场查看运行状态及网络连接情况；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所有接口及功能模块应有清晰标识，符合相关电气安全规范。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防雷系统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标称工作电压(Un)：380VAC；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标称放电电流(In)：≥80kA（8/20μs）；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最大通流容量(Imax)：≥160kA（8/20μs）；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最大持续运行电压(Uc)：L-N≥385V，N-PE≥255V；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电压保护水平(Up)：L-N≤2.5kV，N-PE≤1.5kV；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保护方式：L1、L2、L3、N-PE（三相五线制）；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响应时间(Ta)：≤25ns；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防护等级：≥IP20；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  <w:t>需符合GB/T 18802.1-2011《低压电涌保护器（SPD）第1部分：低压配电系统的电涌保护器性能要求和试验方法》或等效国家标准要求，并提供第三方权威检测机构出具的型式试验报告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播控服务安全管理系统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提供服务端管理平台，支持Windows及国产化操作系统（麒麟、统信等主流发行版）客户端统一管理；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具备病毒查杀、策略管理、威胁告警分析、报表统计等功能；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具备未知病毒检测能力，支持在断网环境下对新型威胁进行识别与处置；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具备威胁溯源功能，可定位病毒感染源，展示全网威胁统计情况（包括威胁名称、类型、处理状态、风险等级、文件大小、最后活跃时间及MD5等信息）；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支持邮件告警配置，可对离线事件、威胁事件、授权到期等情况自动发送告警通知；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须与院内现有广告发布系统完成对接，实现安全播控。供应商应在投标前自行调研现有系统接口情况，并在投标文件中提供对接方案及承诺；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具备≥1路高清视频输出接口（DP或HDMI），支持4K×2K分辨率输出；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支持超大分辨率视频解码及点对点显示，满足LED显示屏（宽10.24m×高2.08m）的点对点输出需求；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支持多画面拼接显示，具备灵活的窗口布局调节能力；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支持输出接口区域拆分功能，满足超长条形屏的显示需求；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整机稳定性满足7×24小时连续运行要求，适配医疗环境使用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9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配电箱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3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额定功率：≥30KW，采用PLC智能控制，保证系统供电的便捷性与可靠性；</w:t>
            </w:r>
          </w:p>
          <w:p>
            <w:pPr>
              <w:numPr>
                <w:ilvl w:val="0"/>
                <w:numId w:val="3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通讯接口：支持RJ45（以太网）和RS485通讯协议，可接入中控系统实现远程集中管控；</w:t>
            </w:r>
          </w:p>
          <w:p>
            <w:pPr>
              <w:numPr>
                <w:ilvl w:val="0"/>
                <w:numId w:val="3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电力保护：采用“分步加电”逐级上电方式，避免大负载对电网造成瞬时冲击；</w:t>
            </w:r>
          </w:p>
          <w:p>
            <w:pPr>
              <w:numPr>
                <w:ilvl w:val="0"/>
                <w:numId w:val="3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安全保护：具备过流、过压、短路、漏电保护功能，符合相关电气安全规范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边框装饰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工程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钢结构：</w:t>
            </w:r>
          </w:p>
          <w:p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钢架构件（含接合板）采用Q235B钢制作，结构用钢应符合《GB/T 700-2019》规定的Q235要求，保证其抗拉强度、伸长率、屈服点及碳、硫、磷的极限含量；</w:t>
            </w:r>
          </w:p>
          <w:p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手工焊接：Q235连接用E43系列焊条；</w:t>
            </w:r>
          </w:p>
          <w:p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自动焊接：Q235连接用H08系列焊条；</w:t>
            </w:r>
          </w:p>
          <w:p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钢结构应进行防锈防腐处理。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装饰包边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: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包边材料：采用不锈钢包边，颜色为黑钛或哑光黑色，表面拉丝或哑光处理；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基材：采用铝合金或同等性能金属材料，厚度≥1.5mm（根据结构设计确定），具备良好的耐腐蚀性能，适应医疗环境清洁需求；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表面处理：根据医院整体装修风格确定（如哑光纯色、氟碳喷涂等），供应商提供色板供选型；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边缘工艺：折弯焊接，无缝打磨处理，避免积尘，便于清洁；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主框架：镀锌钢或铝合金型材，进行防锈防腐处理；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防火等级：装饰材料应达到A2级不燃标准，内部线缆采用阻燃材料，符合GB 8624《建筑材料及制品燃烧性能分级》标准要求；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整体美观：包边与屏体及墙面衔接平整，无明显缝隙，满足医院洁净、温馨的视觉风格要求；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防水防尘等级：不低于IP54，满足日常清洁擦拭及防尘要求；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散热设计：内置通风槽或静音风扇，配合多媒体设备散热需求；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电源：AC 220V ±10%，配备UPS备用电源接口，断电后可维持系统运行不少于30分钟（具体容量根据系统总功耗确定）；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防护：配套电气系统具备防雷击、漏电保护、过载保护功能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;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22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空调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≥1.5匹断电记忆空调；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辅材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含屏幕所需的电缆、网线、视频线缆、五金件及安装所需的脚手架、安装件等辅材；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设计效果图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提供整体设计效果图、施工图等，效果图需体现外包围及屏体样式，分辨率满足≥4000×800 像素，≥300 PPI；文件格式提交：JPG（高质量）+ PDF</w:t>
            </w:r>
          </w:p>
          <w:p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14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其他</w:t>
            </w:r>
          </w:p>
        </w:tc>
        <w:tc>
          <w:tcPr>
            <w:tcW w:w="6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包括但不限于播控软件等符合网络安全等级保护2.0的3级要求及信创要求。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</w:t>
            </w:r>
          </w:p>
        </w:tc>
      </w:tr>
    </w:tbl>
    <w:p>
      <w:pPr>
        <w:pStyle w:val="19"/>
        <w:spacing w:line="360" w:lineRule="auto"/>
        <w:jc w:val="both"/>
        <w:rPr>
          <w:rFonts w:hint="default" w:ascii="宋体" w:hAnsi="宋体" w:eastAsia="宋体" w:cs="宋体"/>
          <w:sz w:val="24"/>
          <w:shd w:val="clear" w:color="auto" w:fill="FFFFFF"/>
        </w:rPr>
      </w:pPr>
    </w:p>
    <w:sectPr>
      <w:footerReference r:id="rId3" w:type="default"/>
      <w:pgSz w:w="11906" w:h="16838"/>
      <w:pgMar w:top="1440" w:right="1349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ziLKK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9C681A"/>
    <w:multiLevelType w:val="singleLevel"/>
    <w:tmpl w:val="849C68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CC7636"/>
    <w:multiLevelType w:val="singleLevel"/>
    <w:tmpl w:val="D2CC763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9870A48"/>
    <w:multiLevelType w:val="singleLevel"/>
    <w:tmpl w:val="19870A4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9B611ED"/>
    <w:multiLevelType w:val="singleLevel"/>
    <w:tmpl w:val="29B611E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FF4ABC"/>
    <w:multiLevelType w:val="singleLevel"/>
    <w:tmpl w:val="57FF4A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Dc2NzgzNTY0ZGZkODYxNmE1MGI3MmJjYjkwMzgifQ=="/>
  </w:docVars>
  <w:rsids>
    <w:rsidRoot w:val="003A6FE9"/>
    <w:rsid w:val="00172E78"/>
    <w:rsid w:val="00301C5A"/>
    <w:rsid w:val="00364727"/>
    <w:rsid w:val="003A6FE9"/>
    <w:rsid w:val="003E779E"/>
    <w:rsid w:val="004F1A93"/>
    <w:rsid w:val="00522F44"/>
    <w:rsid w:val="009F3539"/>
    <w:rsid w:val="00BB79EE"/>
    <w:rsid w:val="00BF6572"/>
    <w:rsid w:val="00D51505"/>
    <w:rsid w:val="01F1594A"/>
    <w:rsid w:val="04D53301"/>
    <w:rsid w:val="0EC00B7E"/>
    <w:rsid w:val="12AE1041"/>
    <w:rsid w:val="148B7538"/>
    <w:rsid w:val="17AB1930"/>
    <w:rsid w:val="1B4A1EFB"/>
    <w:rsid w:val="1D171E50"/>
    <w:rsid w:val="1E5168F8"/>
    <w:rsid w:val="1E8314EF"/>
    <w:rsid w:val="22D03AAD"/>
    <w:rsid w:val="2EE93928"/>
    <w:rsid w:val="31636F3C"/>
    <w:rsid w:val="324059AE"/>
    <w:rsid w:val="325B1369"/>
    <w:rsid w:val="34C603ED"/>
    <w:rsid w:val="34D32B0A"/>
    <w:rsid w:val="372143CD"/>
    <w:rsid w:val="38BD1B07"/>
    <w:rsid w:val="392727E0"/>
    <w:rsid w:val="3A143623"/>
    <w:rsid w:val="3B3A743F"/>
    <w:rsid w:val="3BF14242"/>
    <w:rsid w:val="40692574"/>
    <w:rsid w:val="45DE130F"/>
    <w:rsid w:val="4A7D4020"/>
    <w:rsid w:val="4ACC3E2B"/>
    <w:rsid w:val="4EFD0A57"/>
    <w:rsid w:val="4FD9320F"/>
    <w:rsid w:val="518E0B11"/>
    <w:rsid w:val="51D22043"/>
    <w:rsid w:val="563F1955"/>
    <w:rsid w:val="569021B1"/>
    <w:rsid w:val="573E7E5F"/>
    <w:rsid w:val="576F626A"/>
    <w:rsid w:val="59100F00"/>
    <w:rsid w:val="5AC16DDD"/>
    <w:rsid w:val="5C7835C7"/>
    <w:rsid w:val="5DB669A1"/>
    <w:rsid w:val="5F502014"/>
    <w:rsid w:val="619F774C"/>
    <w:rsid w:val="653A7EB8"/>
    <w:rsid w:val="6AB029CA"/>
    <w:rsid w:val="6CCF5389"/>
    <w:rsid w:val="6F156ECC"/>
    <w:rsid w:val="6FFB5039"/>
    <w:rsid w:val="71685DAD"/>
    <w:rsid w:val="79B24069"/>
    <w:rsid w:val="7C2C0985"/>
    <w:rsid w:val="7FA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宋体"/>
      <w:b/>
      <w:bCs/>
      <w:kern w:val="0"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cs="宋体"/>
      <w:b/>
      <w:bCs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0"/>
    <w:pPr>
      <w:spacing w:after="120" w:line="480" w:lineRule="auto"/>
      <w:ind w:left="420" w:leftChars="200"/>
      <w:jc w:val="left"/>
    </w:pPr>
    <w:rPr>
      <w:rFonts w:ascii="Arial" w:hAnsi="Arial"/>
      <w:color w:val="1D1B11"/>
    </w:rPr>
  </w:style>
  <w:style w:type="paragraph" w:styleId="8">
    <w:name w:val="annotation subject"/>
    <w:basedOn w:val="9"/>
    <w:next w:val="9"/>
    <w:link w:val="22"/>
    <w:qFormat/>
    <w:uiPriority w:val="0"/>
    <w:rPr>
      <w:b/>
      <w:bCs/>
    </w:rPr>
  </w:style>
  <w:style w:type="paragraph" w:styleId="9">
    <w:name w:val="annotation text"/>
    <w:basedOn w:val="1"/>
    <w:link w:val="21"/>
    <w:qFormat/>
    <w:uiPriority w:val="0"/>
    <w:pPr>
      <w:jc w:val="left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paragraph" w:customStyle="1" w:styleId="2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批注文字 Char"/>
    <w:basedOn w:val="14"/>
    <w:link w:val="9"/>
    <w:qFormat/>
    <w:uiPriority w:val="0"/>
    <w:rPr>
      <w:rFonts w:ascii="Calibri" w:hAnsi="Calibri" w:cs="黑体"/>
      <w:kern w:val="2"/>
      <w:sz w:val="21"/>
      <w:szCs w:val="24"/>
    </w:rPr>
  </w:style>
  <w:style w:type="character" w:customStyle="1" w:styleId="22">
    <w:name w:val="批注主题 Char"/>
    <w:basedOn w:val="21"/>
    <w:link w:val="8"/>
    <w:qFormat/>
    <w:uiPriority w:val="0"/>
    <w:rPr>
      <w:rFonts w:ascii="Calibri" w:hAnsi="Calibri" w:cs="黑体"/>
      <w:b/>
      <w:bCs/>
      <w:kern w:val="2"/>
      <w:sz w:val="21"/>
      <w:szCs w:val="24"/>
    </w:rPr>
  </w:style>
  <w:style w:type="character" w:customStyle="1" w:styleId="23">
    <w:name w:val="批注框文本 Char"/>
    <w:basedOn w:val="14"/>
    <w:link w:val="10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2330</Words>
  <Characters>2903</Characters>
  <Lines>174</Lines>
  <Paragraphs>49</Paragraphs>
  <TotalTime>14</TotalTime>
  <ScaleCrop>false</ScaleCrop>
  <LinksUpToDate>false</LinksUpToDate>
  <CharactersWithSpaces>2948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2024-06-03T10:59:00Z</dcterms:created>
  <dc:creator>DELL</dc:creator>
  <cp:lastModifiedBy>lenovo</cp:lastModifiedBy>
  <dcterms:modified xsi:type="dcterms:W3CDTF">2026-03-31T00:15:42Z</dcterms:modified>
  <dc:title>福建省政府采购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5FAAA4DB40D642759BB239ABB9C4B8DB_13</vt:lpwstr>
  </property>
  <property fmtid="{D5CDD505-2E9C-101B-9397-08002B2CF9AE}" pid="4" name="KSOTemplateDocerSaveRecord">
    <vt:lpwstr>eyJoZGlkIjoiMjU0NzA3NzU0M2Y2YzEwNTFjMWFiYzdhZGM0YjE3OTQiLCJ1c2VySWQiOiIxNzc5Nzg2ODMxIn0=</vt:lpwstr>
  </property>
</Properties>
</file>